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70" w:rsidRDefault="00086670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</w:p>
    <w:p w:rsidR="00270120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140A25">
        <w:rPr>
          <w:rFonts w:ascii="Sylfaen" w:hAnsi="Sylfaen"/>
          <w:b/>
          <w:sz w:val="28"/>
          <w:lang w:val="ka-GE"/>
        </w:rPr>
        <w:t>მთავრობის</w:t>
      </w:r>
      <w:r w:rsidR="005A44F5" w:rsidRPr="00140A25">
        <w:rPr>
          <w:rFonts w:ascii="Sylfaen" w:hAnsi="Sylfaen"/>
          <w:b/>
          <w:sz w:val="28"/>
          <w:lang w:val="ka-GE"/>
        </w:rPr>
        <w:t xml:space="preserve"> ვალი</w:t>
      </w:r>
    </w:p>
    <w:p w:rsidR="00086670" w:rsidRPr="00086670" w:rsidRDefault="00086670" w:rsidP="00D62E87">
      <w:pPr>
        <w:spacing w:after="240" w:line="240" w:lineRule="auto"/>
        <w:jc w:val="center"/>
        <w:rPr>
          <w:rFonts w:ascii="Sylfaen" w:hAnsi="Sylfaen"/>
          <w:b/>
          <w:sz w:val="16"/>
          <w:szCs w:val="16"/>
          <w:lang w:val="ka-GE"/>
        </w:rPr>
      </w:pPr>
    </w:p>
    <w:p w:rsidR="009B63F3" w:rsidRPr="00671B34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140A25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140A25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0A7B97" w:rsidRPr="00140A25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F574B9">
        <w:rPr>
          <w:rFonts w:ascii="Sylfaen" w:hAnsi="Sylfaen" w:cs="Sylfaen"/>
          <w:szCs w:val="21"/>
          <w:shd w:val="clear" w:color="auto" w:fill="FFFFFF"/>
        </w:rPr>
        <w:t>1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22036E">
        <w:rPr>
          <w:rFonts w:ascii="Sylfaen" w:hAnsi="Sylfaen" w:cs="Sylfaen"/>
          <w:szCs w:val="21"/>
          <w:shd w:val="clear" w:color="auto" w:fill="FFFFFF"/>
        </w:rPr>
        <w:t>31</w:t>
      </w:r>
      <w:r w:rsidR="0022036E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F574B9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22036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F574B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8E6116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F574B9">
        <w:rPr>
          <w:rFonts w:ascii="Sylfaen" w:hAnsi="Sylfaen" w:cs="Sylfaen"/>
          <w:szCs w:val="21"/>
          <w:shd w:val="clear" w:color="auto" w:fill="FFFFFF"/>
          <w:lang w:val="ka-GE"/>
        </w:rPr>
        <w:t>989</w:t>
      </w:r>
      <w:r w:rsidR="004E09B6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F574B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11D8A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140A25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„სახელმწიფო ვალის შესახებ“ საქართველოს კანონით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გათვალისწინებულ სახელმწიფო ვალი, გარდა საქართველოს ეროვნული ბანკის მიერ აღებული ვალდებულებებისა - </w:t>
      </w:r>
      <w:r w:rsidR="005F3FA8">
        <w:rPr>
          <w:rFonts w:ascii="Sylfaen" w:hAnsi="Sylfaen"/>
          <w:szCs w:val="21"/>
          <w:shd w:val="clear" w:color="auto" w:fill="FFFFFF"/>
        </w:rPr>
        <w:t>30,935.4</w:t>
      </w:r>
      <w:r w:rsidR="008E6116" w:rsidRPr="00671B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>მლნ ლარს</w:t>
      </w:r>
      <w:r w:rsidR="00396821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5F3FA8">
        <w:rPr>
          <w:rFonts w:ascii="Sylfaen" w:hAnsi="Sylfaen"/>
          <w:szCs w:val="21"/>
          <w:shd w:val="clear" w:color="auto" w:fill="FFFFFF"/>
        </w:rPr>
        <w:t>27.3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6F4202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71B34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344AAF">
        <w:rPr>
          <w:rFonts w:ascii="Sylfaen" w:hAnsi="Sylfaen"/>
          <w:szCs w:val="21"/>
          <w:shd w:val="clear" w:color="auto" w:fill="FFFFFF"/>
        </w:rPr>
        <w:t>25,088.5</w:t>
      </w:r>
      <w:r w:rsidR="00784855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344AAF">
        <w:rPr>
          <w:rFonts w:ascii="Sylfaen" w:hAnsi="Sylfaen"/>
          <w:szCs w:val="21"/>
          <w:shd w:val="clear" w:color="auto" w:fill="FFFFFF"/>
        </w:rPr>
        <w:t>81</w:t>
      </w:r>
      <w:r w:rsidR="006F4202" w:rsidRPr="00671B34">
        <w:rPr>
          <w:rFonts w:ascii="Sylfaen" w:hAnsi="Sylfaen"/>
          <w:szCs w:val="21"/>
          <w:shd w:val="clear" w:color="auto" w:fill="FFFFFF"/>
        </w:rPr>
        <w:t>%-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</w:t>
      </w:r>
      <w:r w:rsidR="006F4202" w:rsidRPr="00A411AE">
        <w:rPr>
          <w:rFonts w:ascii="Sylfaen" w:hAnsi="Sylfaen"/>
          <w:szCs w:val="21"/>
          <w:shd w:val="clear" w:color="auto" w:fill="FFFFFF"/>
        </w:rPr>
        <w:t xml:space="preserve">შეადგენს </w:t>
      </w:r>
      <w:r w:rsidR="00F16F47" w:rsidRPr="00A411AE">
        <w:rPr>
          <w:rFonts w:ascii="Sylfaen" w:hAnsi="Sylfaen"/>
          <w:szCs w:val="21"/>
          <w:shd w:val="clear" w:color="auto" w:fill="FFFFFF"/>
          <w:lang w:val="ka-GE"/>
        </w:rPr>
        <w:t>21.</w:t>
      </w:r>
      <w:r w:rsidR="00A411AE" w:rsidRPr="00A411AE">
        <w:rPr>
          <w:rFonts w:ascii="Sylfaen" w:hAnsi="Sylfaen"/>
          <w:szCs w:val="21"/>
          <w:shd w:val="clear" w:color="auto" w:fill="FFFFFF"/>
          <w:lang w:val="ka-GE"/>
        </w:rPr>
        <w:t>1</w:t>
      </w:r>
      <w:r w:rsidR="00431ADF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</w:rPr>
        <w:t>წელს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</w:t>
      </w:r>
      <w:r w:rsidR="006F4202" w:rsidRPr="00721C98">
        <w:rPr>
          <w:rFonts w:ascii="Sylfaen" w:hAnsi="Sylfaen"/>
          <w:szCs w:val="21"/>
          <w:shd w:val="clear" w:color="auto" w:fill="FFFFFF"/>
          <w:lang w:val="ka-GE"/>
        </w:rPr>
        <w:t xml:space="preserve">დაახლოებით </w:t>
      </w:r>
      <w:r w:rsidR="00DE4001" w:rsidRPr="00721C98">
        <w:rPr>
          <w:rFonts w:ascii="Sylfaen" w:hAnsi="Sylfaen"/>
          <w:szCs w:val="21"/>
          <w:shd w:val="clear" w:color="auto" w:fill="FFFFFF"/>
        </w:rPr>
        <w:t xml:space="preserve"> </w:t>
      </w:r>
      <w:r w:rsidR="00431ADF" w:rsidRPr="00721C98">
        <w:rPr>
          <w:rFonts w:ascii="Sylfaen" w:hAnsi="Sylfaen"/>
          <w:szCs w:val="21"/>
          <w:shd w:val="clear" w:color="auto" w:fill="FFFFFF"/>
          <w:lang w:val="ka-GE"/>
        </w:rPr>
        <w:t>8.</w:t>
      </w:r>
      <w:r w:rsidR="00721C98" w:rsidRPr="00721C98">
        <w:rPr>
          <w:rFonts w:ascii="Sylfaen" w:hAnsi="Sylfaen"/>
          <w:szCs w:val="21"/>
          <w:shd w:val="clear" w:color="auto" w:fill="FFFFFF"/>
        </w:rPr>
        <w:t>8</w:t>
      </w:r>
      <w:r w:rsidR="00C126E1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0A7B97" w:rsidRPr="00671B34">
        <w:rPr>
          <w:rFonts w:ascii="Sylfaen" w:hAnsi="Sylfaen" w:cs="Sylfaen"/>
          <w:szCs w:val="21"/>
          <w:shd w:val="clear" w:color="auto" w:fill="FFFFFF"/>
          <w:lang w:val="ka-GE"/>
        </w:rPr>
        <w:t>1.</w:t>
      </w:r>
      <w:r w:rsidR="00344AAF">
        <w:rPr>
          <w:rFonts w:ascii="Sylfaen" w:hAnsi="Sylfaen" w:cs="Sylfaen"/>
          <w:szCs w:val="21"/>
          <w:shd w:val="clear" w:color="auto" w:fill="FFFFFF"/>
        </w:rPr>
        <w:t>27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086670" w:rsidRPr="00086670" w:rsidRDefault="00086670" w:rsidP="00D62E87">
      <w:pPr>
        <w:spacing w:line="240" w:lineRule="auto"/>
        <w:ind w:firstLine="720"/>
        <w:jc w:val="both"/>
        <w:rPr>
          <w:rFonts w:ascii="Sylfaen" w:hAnsi="Sylfaen" w:cs="Sylfaen"/>
          <w:sz w:val="16"/>
          <w:szCs w:val="16"/>
          <w:shd w:val="clear" w:color="auto" w:fill="FFFFFF"/>
          <w:lang w:val="ka-GE"/>
        </w:rPr>
      </w:pPr>
    </w:p>
    <w:p w:rsidR="006F4202" w:rsidRPr="00140A25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140A25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1C98" w:rsidRPr="00A33B48" w:rsidRDefault="00721C98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721C98" w:rsidRPr="00A411AE" w:rsidRDefault="00721C98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B76C9">
                                <w:rPr>
                                  <w:rFonts w:ascii="Sylfaen" w:hAnsi="Sylfaen" w:cstheme="minorBidi"/>
                                  <w:b/>
                                  <w:color w:val="FF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color w:val="FF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.27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721C98" w:rsidRPr="00A411AE" w:rsidRDefault="00721C98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A411AE"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721C98" w:rsidRPr="00DE4001" w:rsidRDefault="00721C98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 w:rsidR="00A411AE"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F00D6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721C98" w:rsidRPr="00A33B48" w:rsidRDefault="00721C98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721C98" w:rsidRPr="00A411AE" w:rsidRDefault="00721C98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8B76C9">
                          <w:rPr>
                            <w:rFonts w:ascii="Sylfaen" w:hAnsi="Sylfaen" w:cstheme="minorBidi"/>
                            <w:b/>
                            <w:color w:val="FF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color w:val="FF0000"/>
                            <w:kern w:val="24"/>
                            <w:sz w:val="16"/>
                            <w:szCs w:val="16"/>
                            <w:lang w:val="ka-GE"/>
                          </w:rPr>
                          <w:t>.27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721C98" w:rsidRPr="00A411AE" w:rsidRDefault="00721C98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 w:rsidR="00A411AE"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721C98" w:rsidRPr="00DE4001" w:rsidRDefault="00721C98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 w:rsidR="00A411AE"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Pr="00140A25">
        <w:rPr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140A25">
        <w:rPr>
          <w:rFonts w:ascii="Sylfaen" w:hAnsi="Sylfaen"/>
          <w:b/>
          <w:szCs w:val="18"/>
          <w:shd w:val="clear" w:color="auto" w:fill="FFFFFF"/>
          <w:lang w:val="ka-GE"/>
        </w:rPr>
        <w:t>2</w:t>
      </w:r>
      <w:r w:rsidR="00344AAF">
        <w:rPr>
          <w:rFonts w:ascii="Sylfaen" w:hAnsi="Sylfaen"/>
          <w:b/>
          <w:szCs w:val="18"/>
          <w:shd w:val="clear" w:color="auto" w:fill="FFFFFF"/>
        </w:rPr>
        <w:t>1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F16F47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F16F4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344AAF">
        <w:rPr>
          <w:rFonts w:ascii="Sylfaen" w:hAnsi="Sylfaen" w:cs="Sylfaen"/>
          <w:b/>
          <w:szCs w:val="21"/>
          <w:shd w:val="clear" w:color="auto" w:fill="FFFFFF"/>
          <w:lang w:val="ka-GE"/>
        </w:rPr>
        <w:t>მარტის</w:t>
      </w:r>
      <w:r w:rsidR="00F16F47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140A25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</w:t>
      </w:r>
    </w:p>
    <w:p w:rsidR="00B57E95" w:rsidRPr="00140A25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F4202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140A25">
        <w:rPr>
          <w:rFonts w:ascii="Sylfaen" w:hAnsi="Sylfaen" w:cs="Sylfaen"/>
          <w:szCs w:val="21"/>
          <w:shd w:val="clear" w:color="auto" w:fill="FFFFFF"/>
        </w:rPr>
        <w:t>2</w:t>
      </w:r>
      <w:r w:rsidR="00C10A59">
        <w:rPr>
          <w:rFonts w:ascii="Sylfaen" w:hAnsi="Sylfaen" w:cs="Sylfaen"/>
          <w:szCs w:val="21"/>
          <w:shd w:val="clear" w:color="auto" w:fill="FFFFFF"/>
        </w:rPr>
        <w:t>1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F16F47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F16F47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13A2C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F16F47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პორტფელის </w:t>
      </w:r>
      <w:r w:rsidR="00B7447C" w:rsidRPr="00140A25">
        <w:rPr>
          <w:rFonts w:ascii="Sylfaen" w:hAnsi="Sylfaen" w:cs="Sylfaen"/>
          <w:szCs w:val="21"/>
          <w:shd w:val="clear" w:color="auto" w:fill="FFFFFF"/>
        </w:rPr>
        <w:t>5</w:t>
      </w:r>
      <w:r w:rsidR="00813A2C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ეს გარემოება ხელს უწყობს საქართველოს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711CE6">
        <w:rPr>
          <w:rFonts w:ascii="Sylfaen" w:hAnsi="Sylfaen" w:cs="Sylfaen"/>
          <w:szCs w:val="21"/>
          <w:shd w:val="clear" w:color="auto" w:fill="FFFFFF"/>
        </w:rPr>
        <w:t>2</w:t>
      </w:r>
      <w:r w:rsidR="00813A2C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:rsidR="00086670" w:rsidRPr="00140A25" w:rsidRDefault="00086670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B7509F" w:rsidRPr="00140A25" w:rsidRDefault="00D37A24" w:rsidP="006A4593">
      <w:pPr>
        <w:tabs>
          <w:tab w:val="left" w:pos="360"/>
        </w:tabs>
        <w:spacing w:line="240" w:lineRule="auto"/>
        <w:ind w:left="360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3743325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CE6">
        <w:rPr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1143000</wp:posOffset>
            </wp:positionH>
            <wp:positionV relativeFrom="paragraph">
              <wp:posOffset>226695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140A25">
        <w:rPr>
          <w:rFonts w:ascii="Sylfaen" w:hAnsi="Sylfaen"/>
          <w:lang w:val="ka-GE"/>
        </w:rPr>
        <w:t xml:space="preserve">  </w:t>
      </w:r>
    </w:p>
    <w:p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Pr="00140A25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140A25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br w:type="page"/>
      </w:r>
    </w:p>
    <w:p w:rsidR="00071D1D" w:rsidRPr="00140A25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140A25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140A25">
        <w:rPr>
          <w:rFonts w:ascii="Sylfaen" w:hAnsi="Sylfaen"/>
          <w:b/>
          <w:lang w:val="ka-GE"/>
        </w:rPr>
        <w:t>20</w:t>
      </w:r>
      <w:r w:rsidR="00813A2C">
        <w:rPr>
          <w:rFonts w:ascii="Sylfaen" w:hAnsi="Sylfaen"/>
          <w:b/>
        </w:rPr>
        <w:t>21</w:t>
      </w:r>
      <w:r w:rsidR="00E46C45" w:rsidRPr="00140A25">
        <w:rPr>
          <w:rFonts w:ascii="Sylfaen" w:hAnsi="Sylfaen"/>
          <w:b/>
          <w:lang w:val="ka-GE"/>
        </w:rPr>
        <w:t xml:space="preserve"> წლის </w:t>
      </w:r>
      <w:r w:rsidR="00D85A3D">
        <w:rPr>
          <w:rFonts w:ascii="Sylfaen" w:hAnsi="Sylfaen" w:cs="Sylfaen"/>
          <w:b/>
          <w:szCs w:val="18"/>
          <w:shd w:val="clear" w:color="auto" w:fill="FFFFFF"/>
          <w:lang w:val="ka-GE"/>
        </w:rPr>
        <w:t>3</w:t>
      </w:r>
      <w:r w:rsidR="00EF6AB2">
        <w:rPr>
          <w:rFonts w:ascii="Sylfaen" w:hAnsi="Sylfaen" w:cs="Sylfaen"/>
          <w:b/>
          <w:szCs w:val="18"/>
          <w:shd w:val="clear" w:color="auto" w:fill="FFFFFF"/>
          <w:lang w:val="ka-GE"/>
        </w:rPr>
        <w:t>1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813A2C">
        <w:rPr>
          <w:rFonts w:ascii="Sylfaen" w:hAnsi="Sylfaen" w:cs="Sylfaen"/>
          <w:b/>
          <w:szCs w:val="21"/>
          <w:shd w:val="clear" w:color="auto" w:fill="FFFFFF"/>
          <w:lang w:val="ka-GE"/>
        </w:rPr>
        <w:t>მარტის</w:t>
      </w:r>
      <w:r w:rsidR="00EF6AB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EF6AB2" w:rsidRPr="00140A25">
        <w:rPr>
          <w:rFonts w:ascii="Sylfaen" w:hAnsi="Sylfaen"/>
          <w:b/>
          <w:lang w:val="ka-GE"/>
        </w:rPr>
        <w:t xml:space="preserve"> </w:t>
      </w:r>
      <w:r w:rsidR="00071D1D" w:rsidRPr="00140A25">
        <w:rPr>
          <w:rFonts w:ascii="Sylfaen" w:hAnsi="Sylfaen"/>
          <w:b/>
          <w:lang w:val="ka-GE"/>
        </w:rPr>
        <w:t>მდგომარეობით</w:t>
      </w:r>
    </w:p>
    <w:p w:rsidR="00E97A98" w:rsidRDefault="00E97A98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765"/>
        <w:gridCol w:w="1352"/>
        <w:gridCol w:w="1247"/>
        <w:gridCol w:w="1439"/>
        <w:gridCol w:w="941"/>
        <w:gridCol w:w="1255"/>
      </w:tblGrid>
      <w:tr w:rsidR="00914EEA" w:rsidTr="00B42ECF">
        <w:trPr>
          <w:trHeight w:hRule="exact" w:val="638"/>
          <w:tblHeader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კრედიტორი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რედიტის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ვალუტა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აშშ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დოლარი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ლარი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bCs/>
                <w:sz w:val="12"/>
                <w:szCs w:val="12"/>
              </w:rPr>
              <w:t>საპროცენტო</w:t>
            </w: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2"/>
                <w:szCs w:val="12"/>
              </w:rPr>
              <w:t>განაკვეთი</w:t>
            </w: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31.03.2021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შეწონილი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</w:tr>
      <w:tr w:rsidR="00914EEA" w:rsidTr="00B42ECF">
        <w:trPr>
          <w:trHeight w:hRule="exact" w:val="294"/>
        </w:trPr>
        <w:tc>
          <w:tcPr>
            <w:tcW w:w="198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სახელმწიფო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7 353 447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25 088 492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914EEA" w:rsidTr="00B42ECF">
        <w:trPr>
          <w:trHeight w:hRule="exact" w:val="341"/>
        </w:trPr>
        <w:tc>
          <w:tcPr>
            <w:tcW w:w="19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მრავალმხრივი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კრედიტორები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5 281 263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18 018 614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ასოციაცია</w:t>
            </w:r>
            <w:r>
              <w:rPr>
                <w:rFonts w:ascii="Calibri" w:hAnsi="Calibri" w:cs="Calibri"/>
                <w:sz w:val="18"/>
                <w:szCs w:val="18"/>
              </w:rPr>
              <w:t>(WB - IDA)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639 225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2 180 907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0,065%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238 451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813 546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0,065%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8 902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30 371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2,15%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ასოციაცია</w:t>
            </w:r>
            <w:r>
              <w:rPr>
                <w:rFonts w:ascii="Calibri" w:hAnsi="Calibri" w:cs="Calibri"/>
                <w:sz w:val="18"/>
                <w:szCs w:val="18"/>
              </w:rPr>
              <w:t>(WB - IBRD)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105 632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360 396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1,39%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10 585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36 114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Euribor+VS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0,48%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52 347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178 596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0,49%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55 398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189 008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0,52%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63 405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216 327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0,73%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10 870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37 085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1 759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0,87%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158 957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542 329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Libor+VS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0,57%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42 135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143 755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0,77%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28 083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95 815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0,91%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52 473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179 027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0,94%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172 000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586 830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148 407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506 334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0,97%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55 123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188 068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1,16%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36 305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123 866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1,21%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145 728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497 194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0,025%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6 795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23 184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1,27%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სოფლის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მეურნეობის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ფონდი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(IFAD)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17 797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60 720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11 280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38 486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3 688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12 584,25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0,71%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2 496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8 515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1,25%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268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სავალუტო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ფონდი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(IMF EFF,MOF)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208 329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710 779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1,05%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0,030%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ევროგაერთიანება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111 501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380 418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0,13%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11 737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40 044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0,52%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15 258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52 057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1,16%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17 605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60 066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511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ევროპის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რეკონსტრუქციის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და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ბანკი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(EBRD)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203 977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695 930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EURIBOR+ 1%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0,89%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0,025%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აზიის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ბანკი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59 793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204 003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320 376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1 093 057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0,065%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31 757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108 348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223 884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763 846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0,061%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108 334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369 614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0,26%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83 285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284 152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0,32%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200 493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684 044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0,38%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19 395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66 170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0,15%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121 115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413 218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81 227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277 131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0,22%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27 598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94 158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0,27%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49 783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169 851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105 224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359 004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0,63%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43 750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149 266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0,73%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40 942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0,77%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33 461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114 163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0,82%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34 429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117 464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0,86%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19 991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68 204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0,96%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106 078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361 916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0,98%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0,014%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48 059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163 968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914EEA" w:rsidTr="00B42ECF">
        <w:trPr>
          <w:trHeight w:hRule="exact" w:val="268"/>
        </w:trPr>
        <w:tc>
          <w:tcPr>
            <w:tcW w:w="161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აზიის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ინფრასტრუქტურის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ბანკი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(AIIB)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39 363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134 299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LIBOR + V Spread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1,68%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914EEA" w:rsidTr="00B42ECF">
        <w:trPr>
          <w:trHeight w:hRule="exact" w:val="286"/>
        </w:trPr>
        <w:tc>
          <w:tcPr>
            <w:tcW w:w="16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130 988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446 905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VSpread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0,28%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ევროსაბჭოს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ბანკი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(CEB)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7 171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0,39%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286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1 058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3 610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VSpread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ევროპის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საინვესტიციო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ბანკი</w:t>
            </w:r>
            <w:r>
              <w:rPr>
                <w:rFonts w:ascii="Calibri" w:hAnsi="Calibri" w:cs="Calibri"/>
                <w:sz w:val="18"/>
                <w:szCs w:val="18"/>
              </w:rPr>
              <w:t>(EIB)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99 764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340 374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0,33%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33 450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114 125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0,49%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23 474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80 088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0,59%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9 802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33 443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0,86%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23 474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80 088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0,87%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11 737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40 044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1,65%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25 216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86 030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1,69%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23 474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80 088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1,937%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360 910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1 231 353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EURIBOR+FS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12 583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42 932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64 255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219 224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0,27%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10 638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36 296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0,31%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38 090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129 957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0,32%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3 521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12 013</w:t>
            </w: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0,33%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511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სკანდინავიური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გარემოსდაცვის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საფინანსო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კორპორაცია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(NEFCO) 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2 329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7 945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914EEA" w:rsidTr="00B42ECF">
        <w:trPr>
          <w:trHeight w:hRule="exact" w:val="288"/>
        </w:trPr>
        <w:tc>
          <w:tcPr>
            <w:tcW w:w="1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ორმხრივი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კრედიტორები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1 570 561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5 358 440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14EEA" w:rsidTr="00B42ECF">
        <w:trPr>
          <w:trHeight w:hRule="exact" w:val="259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ავსტრია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18 344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62 585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1,00%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259"/>
        </w:trPr>
        <w:tc>
          <w:tcPr>
            <w:tcW w:w="1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აზერბაიჯანი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5 054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17 244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259"/>
        </w:trPr>
        <w:tc>
          <w:tcPr>
            <w:tcW w:w="1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თურქმენეთი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720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4,00%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259"/>
        </w:trPr>
        <w:tc>
          <w:tcPr>
            <w:tcW w:w="1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თურქეთი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9 766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33 319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3,13%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914EEA" w:rsidTr="00B42ECF">
        <w:trPr>
          <w:trHeight w:hRule="exact" w:val="259"/>
        </w:trPr>
        <w:tc>
          <w:tcPr>
            <w:tcW w:w="1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ირანი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12 949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259"/>
        </w:trPr>
        <w:tc>
          <w:tcPr>
            <w:tcW w:w="1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რუსეთი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37 468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127 834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4,00%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0,020%</w:t>
            </w:r>
          </w:p>
        </w:tc>
      </w:tr>
      <w:tr w:rsidR="00914EEA" w:rsidTr="00B42ECF">
        <w:trPr>
          <w:trHeight w:hRule="exact" w:val="259"/>
        </w:trPr>
        <w:tc>
          <w:tcPr>
            <w:tcW w:w="1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სომხეთი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17 400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259"/>
        </w:trPr>
        <w:tc>
          <w:tcPr>
            <w:tcW w:w="1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უზბეკეთი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176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259"/>
        </w:trPr>
        <w:tc>
          <w:tcPr>
            <w:tcW w:w="16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უკრაინა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161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259"/>
        </w:trPr>
        <w:tc>
          <w:tcPr>
            <w:tcW w:w="1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ყაზახეთი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7 705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26 287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4,00%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914EEA" w:rsidTr="00B42ECF">
        <w:trPr>
          <w:trHeight w:hRule="exact" w:val="259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ჩინეთი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CNY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3 118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გერმანია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(KfW)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2 953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10 074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127 932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436 480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0,25%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211 264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720 792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105 632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360 396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0,65%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123 619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421 762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30 678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104 666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31 541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107 610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23 341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79 633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2,20%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12 253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41 806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4,20%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23 474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80 088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5,70%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0,018%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8 537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29 128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6,68%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იაპონია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26 037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88 834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132 884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453 373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1 079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3 680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25 578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87 266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16 484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56 240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2,30%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კუვეიტი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2 398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8 181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6 589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22 480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ნიდერლანდები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382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4,20%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861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5,10%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აშშ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261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21 343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3 440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11 735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2,25%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5 360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18 287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საფრანგეთი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13 949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47 593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0,17%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223 001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760 836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0,42%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21 740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74 171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1,10%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13 353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45 556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1,27%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22 405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76 443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1,41%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252 344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860 946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EURIBOR + 0.6%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914EEA" w:rsidTr="00B42ECF">
        <w:trPr>
          <w:trHeight w:hRule="exact" w:val="187"/>
        </w:trPr>
        <w:tc>
          <w:tcPr>
            <w:tcW w:w="16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7 546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25 744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EURIBOR + 1.05%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1,05%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914EEA" w:rsidTr="00B42ECF">
        <w:trPr>
          <w:trHeight w:hRule="exact" w:val="296"/>
        </w:trPr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ფასიანი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1 705 900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14EEA" w:rsidTr="00B42ECF">
        <w:trPr>
          <w:trHeight w:hRule="exact" w:val="368"/>
        </w:trPr>
        <w:tc>
          <w:tcPr>
            <w:tcW w:w="161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ევროობლიგაცია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2021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1 705 900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6,875%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0,467%</w:t>
            </w:r>
          </w:p>
        </w:tc>
      </w:tr>
      <w:tr w:rsidR="00914EEA" w:rsidTr="00B42ECF">
        <w:trPr>
          <w:trHeight w:hRule="exact" w:val="368"/>
        </w:trPr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გარანტირებული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კრედიტები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1 623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5 538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14EEA" w:rsidTr="00B42ECF">
        <w:trPr>
          <w:trHeight w:hRule="exact" w:val="314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გერმანია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(KfW)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EEA" w:rsidRDefault="00914EE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1 623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5 538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914EEA" w:rsidTr="00B42ECF">
        <w:trPr>
          <w:trHeight w:hRule="exact" w:val="359"/>
        </w:trPr>
        <w:tc>
          <w:tcPr>
            <w:tcW w:w="19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EEA" w:rsidRDefault="00914E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FF0000"/>
                <w:sz w:val="18"/>
                <w:szCs w:val="18"/>
              </w:rPr>
              <w:t>საშუალო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0000"/>
                <w:sz w:val="18"/>
                <w:szCs w:val="18"/>
              </w:rPr>
              <w:t>შეწონილი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0000"/>
                <w:sz w:val="18"/>
                <w:szCs w:val="18"/>
              </w:rPr>
              <w:t>საპროცენტო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FF0000"/>
                <w:sz w:val="18"/>
                <w:szCs w:val="18"/>
              </w:rPr>
              <w:t>განაკვეთი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14EEA" w:rsidRDefault="00914EEA" w:rsidP="00FA3DF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1,27%</w:t>
            </w:r>
          </w:p>
        </w:tc>
      </w:tr>
    </w:tbl>
    <w:p w:rsidR="000A407F" w:rsidRDefault="000A407F" w:rsidP="00914EEA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797BDC" w:rsidRPr="00E97A98" w:rsidRDefault="00BE093C" w:rsidP="00914EEA">
      <w:pPr>
        <w:tabs>
          <w:tab w:val="left" w:pos="9072"/>
        </w:tabs>
        <w:ind w:firstLine="720"/>
        <w:jc w:val="both"/>
        <w:rPr>
          <w:rFonts w:ascii="Calibri" w:eastAsia="Times New Roman" w:hAnsi="Calibri" w:cs="Calibri"/>
          <w:bCs/>
          <w:iCs/>
          <w:color w:val="000000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760891">
        <w:rPr>
          <w:rFonts w:ascii="Sylfaen" w:hAnsi="Sylfaen" w:cs="Sylfaen"/>
          <w:szCs w:val="21"/>
          <w:shd w:val="clear" w:color="auto" w:fill="FFFFFF"/>
        </w:rPr>
        <w:t>21</w:t>
      </w:r>
      <w:r w:rsidR="000F5720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60891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760891">
        <w:rPr>
          <w:rFonts w:ascii="Sylfaen" w:hAnsi="Sylfaen" w:cs="Sylfaen"/>
          <w:szCs w:val="21"/>
          <w:shd w:val="clear" w:color="auto" w:fill="FFFFFF"/>
        </w:rPr>
        <w:t xml:space="preserve">I 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კვარტლის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განმავლობაში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322</w:t>
      </w:r>
      <w:r w:rsidR="00E97A98">
        <w:rPr>
          <w:rFonts w:ascii="Calibri" w:eastAsia="Times New Roman" w:hAnsi="Calibri" w:cs="Calibri"/>
          <w:bCs/>
          <w:iCs/>
          <w:color w:val="000000"/>
        </w:rPr>
        <w:t>,</w:t>
      </w:r>
      <w:r w:rsidR="00285C33">
        <w:rPr>
          <w:rFonts w:ascii="Sylfaen" w:eastAsia="Times New Roman" w:hAnsi="Sylfaen" w:cs="Calibri"/>
          <w:bCs/>
          <w:iCs/>
          <w:color w:val="000000"/>
          <w:lang w:val="ka-GE"/>
        </w:rPr>
        <w:t>635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.</w:t>
      </w:r>
      <w:r w:rsidR="00285C33">
        <w:rPr>
          <w:rFonts w:ascii="Sylfaen" w:eastAsia="Times New Roman" w:hAnsi="Sylfaen" w:cs="Calibri"/>
          <w:bCs/>
          <w:iCs/>
          <w:color w:val="000000"/>
          <w:lang w:val="ka-GE"/>
        </w:rPr>
        <w:t>2</w:t>
      </w:r>
      <w:r w:rsidR="00930DB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264,747</w:t>
      </w:r>
      <w:r w:rsidR="00E97A98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397075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285C33">
        <w:rPr>
          <w:rFonts w:ascii="Sylfaen" w:eastAsia="Times New Roman" w:hAnsi="Sylfaen" w:cs="Calibri"/>
          <w:bCs/>
          <w:iCs/>
          <w:color w:val="000000"/>
          <w:lang w:val="ka-GE"/>
        </w:rPr>
        <w:t>57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,</w:t>
      </w:r>
      <w:r w:rsidR="00285C33">
        <w:rPr>
          <w:rFonts w:ascii="Sylfaen" w:eastAsia="Times New Roman" w:hAnsi="Sylfaen" w:cs="Calibri"/>
          <w:bCs/>
          <w:iCs/>
          <w:color w:val="000000"/>
          <w:lang w:val="ka-GE"/>
        </w:rPr>
        <w:t>887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.</w:t>
      </w:r>
      <w:r w:rsidR="00285C33">
        <w:rPr>
          <w:rFonts w:ascii="Sylfaen" w:eastAsia="Times New Roman" w:hAnsi="Sylfaen" w:cs="Calibri"/>
          <w:bCs/>
          <w:iCs/>
          <w:color w:val="000000"/>
          <w:lang w:val="ka-GE"/>
        </w:rPr>
        <w:t>8</w:t>
      </w:r>
      <w:r w:rsidR="00930DB7">
        <w:rPr>
          <w:rFonts w:ascii="Calibri" w:eastAsia="Times New Roman" w:hAnsi="Calibri" w:cs="Calibri"/>
          <w:bCs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8D7692" w:rsidRDefault="008D7692">
      <w:pPr>
        <w:rPr>
          <w:rFonts w:ascii="Sylfaen" w:hAnsi="Sylfaen" w:cs="Sylfaen"/>
          <w:b/>
          <w:szCs w:val="18"/>
          <w:shd w:val="clear" w:color="auto" w:fill="FFFFFF"/>
        </w:rPr>
      </w:pPr>
      <w:r>
        <w:rPr>
          <w:rFonts w:ascii="Sylfaen" w:hAnsi="Sylfaen" w:cs="Sylfaen"/>
          <w:b/>
          <w:szCs w:val="18"/>
          <w:shd w:val="clear" w:color="auto" w:fill="FFFFFF"/>
        </w:rPr>
        <w:br w:type="page"/>
      </w:r>
    </w:p>
    <w:p w:rsidR="004816BC" w:rsidRDefault="00FE7942" w:rsidP="00FB01F8">
      <w:pPr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საგარეო ვალდებულებების მომსახურება და დაფარვა</w:t>
      </w:r>
      <w:r w:rsidR="00FB01F8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140A25">
        <w:rPr>
          <w:rFonts w:ascii="Sylfaen" w:hAnsi="Sylfaen"/>
          <w:b/>
          <w:lang w:val="ka-GE"/>
        </w:rPr>
        <w:t>20</w:t>
      </w:r>
      <w:r w:rsidR="000A407F">
        <w:rPr>
          <w:rFonts w:ascii="Sylfaen" w:hAnsi="Sylfaen"/>
          <w:b/>
          <w:lang w:val="ka-GE"/>
        </w:rPr>
        <w:t>2</w:t>
      </w:r>
      <w:r w:rsidR="00285C33">
        <w:rPr>
          <w:rFonts w:ascii="Sylfaen" w:hAnsi="Sylfaen"/>
          <w:b/>
          <w:lang w:val="ka-GE"/>
        </w:rPr>
        <w:t>1</w:t>
      </w:r>
      <w:r w:rsidR="000F5720" w:rsidRPr="00140A25">
        <w:rPr>
          <w:rFonts w:ascii="Sylfaen" w:hAnsi="Sylfaen"/>
          <w:b/>
          <w:lang w:val="ka-GE"/>
        </w:rPr>
        <w:t xml:space="preserve"> წლის </w:t>
      </w:r>
      <w:r w:rsidR="00E97A98">
        <w:rPr>
          <w:rFonts w:ascii="Sylfaen" w:hAnsi="Sylfaen"/>
          <w:b/>
          <w:lang w:val="ka-GE"/>
        </w:rPr>
        <w:t xml:space="preserve">31 </w:t>
      </w:r>
      <w:r w:rsidR="00285C33">
        <w:rPr>
          <w:rFonts w:ascii="Sylfaen" w:hAnsi="Sylfaen"/>
          <w:b/>
          <w:lang w:val="ka-GE"/>
        </w:rPr>
        <w:t>მარტის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D691A" w:rsidRPr="00140A25">
        <w:rPr>
          <w:rFonts w:ascii="Sylfaen" w:hAnsi="Sylfaen"/>
          <w:b/>
          <w:lang w:val="ka-GE"/>
        </w:rPr>
        <w:t>მდგომარეობით</w:t>
      </w:r>
    </w:p>
    <w:p w:rsidR="00086670" w:rsidRPr="00086670" w:rsidRDefault="00086670" w:rsidP="00FB01F8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:rsidR="006F461C" w:rsidRPr="00023C53" w:rsidRDefault="00023C53" w:rsidP="00023C53">
      <w:pPr>
        <w:tabs>
          <w:tab w:val="left" w:pos="0"/>
        </w:tabs>
        <w:spacing w:after="0" w:line="240" w:lineRule="auto"/>
        <w:ind w:right="173" w:firstLine="720"/>
        <w:jc w:val="center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     </w:t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                         </w:t>
      </w:r>
      <w:r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17"/>
        <w:gridCol w:w="2675"/>
        <w:gridCol w:w="2674"/>
        <w:gridCol w:w="2674"/>
      </w:tblGrid>
      <w:tr w:rsidR="00930DB7" w:rsidRPr="00247D3D" w:rsidTr="00B42ECF">
        <w:trPr>
          <w:trHeight w:hRule="exact" w:val="448"/>
          <w:jc w:val="center"/>
        </w:trPr>
        <w:tc>
          <w:tcPr>
            <w:tcW w:w="112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30DB7" w:rsidRPr="00850E79" w:rsidRDefault="00930DB7" w:rsidP="00930DB7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18"/>
              </w:rPr>
            </w:pPr>
            <w:r w:rsidRPr="00850E79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18"/>
              </w:rPr>
              <w:t>კრედიტორები</w:t>
            </w:r>
          </w:p>
        </w:tc>
        <w:tc>
          <w:tcPr>
            <w:tcW w:w="1293" w:type="pct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30DB7" w:rsidRPr="00850E79" w:rsidRDefault="00930DB7" w:rsidP="00930DB7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18"/>
              </w:rPr>
            </w:pPr>
            <w:r w:rsidRPr="00850E79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18"/>
              </w:rPr>
              <w:t>ვალების დაფარვა</w:t>
            </w:r>
          </w:p>
        </w:tc>
        <w:tc>
          <w:tcPr>
            <w:tcW w:w="1293" w:type="pct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30DB7" w:rsidRPr="00850E79" w:rsidRDefault="00930DB7" w:rsidP="00930DB7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18"/>
              </w:rPr>
            </w:pPr>
            <w:r w:rsidRPr="00850E79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18"/>
              </w:rPr>
              <w:t>პროცენტი</w:t>
            </w:r>
          </w:p>
        </w:tc>
        <w:tc>
          <w:tcPr>
            <w:tcW w:w="1293" w:type="pct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30DB7" w:rsidRPr="00850E79" w:rsidRDefault="00930DB7" w:rsidP="00285C33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18"/>
                <w:lang w:val="ka-GE"/>
              </w:rPr>
            </w:pPr>
            <w:r w:rsidRPr="00850E79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18"/>
              </w:rPr>
              <w:t>სულ 202</w:t>
            </w:r>
            <w:r w:rsidR="00285C33" w:rsidRPr="00850E79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18"/>
                <w:lang w:val="ka-GE"/>
              </w:rPr>
              <w:t>1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ავსტრია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-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154,51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154,51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კუვეიტი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1 443,90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346,02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1 789,91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იაპონია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4 532,58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742,67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5 275,25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აშშ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1 267,67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141,44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1 409,11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სომხეთი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1 278,22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223,93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1 502,14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აზერბაიჯანი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1 449,01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250,37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1 699,38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ირანი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1 056,94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184,14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1 241,08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ყაზახეთი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3 566,33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2 026,62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5 592,95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ნიდერლანდები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36,19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8,74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44,93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რუსეთი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9 904,47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2 313,51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12 217,98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თურქეთი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2 821,51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535,48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3 356,99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საფრანგეთი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1 712,08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3 682,58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5 394,66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IDA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78 141,55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12 104,02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90 245,57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IBRD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20 892,71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9 936,79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30 829,50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IFAD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2 590,59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622,14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3 212,73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EBRD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19 542,16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3 078,46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22 620,62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EIB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2 326,19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3 168,43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5 494,62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ADB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111 766,00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15 572,84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127 338,83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IMF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-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1 967,94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1 967,94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AIIB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-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753,48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753,48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iCs/>
                <w:color w:val="000000"/>
                <w:sz w:val="20"/>
              </w:rPr>
            </w:pPr>
            <w:r w:rsidRPr="00850E79">
              <w:rPr>
                <w:rFonts w:ascii="Sylfaen" w:hAnsi="Sylfaen" w:cstheme="minorHAnsi"/>
                <w:iCs/>
                <w:color w:val="000000"/>
                <w:sz w:val="20"/>
              </w:rPr>
              <w:t>NEFCO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419,33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73,69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sz w:val="20"/>
              </w:rPr>
            </w:pPr>
            <w:r w:rsidRPr="00850E79">
              <w:rPr>
                <w:rFonts w:ascii="Sylfaen" w:hAnsi="Sylfaen" w:cstheme="minorHAnsi"/>
                <w:sz w:val="20"/>
              </w:rPr>
              <w:t>493,02</w:t>
            </w:r>
          </w:p>
        </w:tc>
      </w:tr>
      <w:tr w:rsidR="00285C33" w:rsidRPr="00247D3D" w:rsidTr="00B42ECF">
        <w:trPr>
          <w:trHeight w:hRule="exact" w:val="288"/>
          <w:jc w:val="center"/>
        </w:trPr>
        <w:tc>
          <w:tcPr>
            <w:tcW w:w="112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85C33" w:rsidRPr="00850E79" w:rsidRDefault="00285C33" w:rsidP="00285C33">
            <w:pPr>
              <w:rPr>
                <w:rFonts w:ascii="Sylfaen" w:hAnsi="Sylfae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50E79">
              <w:rPr>
                <w:rFonts w:ascii="Sylfaen" w:hAnsi="Sylfaen" w:cstheme="minorHAnsi"/>
                <w:b/>
                <w:bCs/>
                <w:i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b/>
                <w:sz w:val="20"/>
              </w:rPr>
            </w:pPr>
            <w:r w:rsidRPr="00850E79">
              <w:rPr>
                <w:rFonts w:ascii="Sylfaen" w:hAnsi="Sylfaen" w:cstheme="minorHAnsi"/>
                <w:b/>
                <w:sz w:val="20"/>
              </w:rPr>
              <w:t>264 747,4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b/>
                <w:sz w:val="20"/>
              </w:rPr>
            </w:pPr>
            <w:r w:rsidRPr="00850E79">
              <w:rPr>
                <w:rFonts w:ascii="Sylfaen" w:hAnsi="Sylfaen" w:cstheme="minorHAnsi"/>
                <w:b/>
                <w:sz w:val="20"/>
              </w:rPr>
              <w:t>57 887,8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285C33" w:rsidRPr="00850E79" w:rsidRDefault="00285C33" w:rsidP="00285C33">
            <w:pPr>
              <w:jc w:val="center"/>
              <w:rPr>
                <w:rFonts w:ascii="Sylfaen" w:hAnsi="Sylfaen" w:cstheme="minorHAnsi"/>
                <w:b/>
                <w:sz w:val="20"/>
              </w:rPr>
            </w:pPr>
            <w:r w:rsidRPr="00850E79">
              <w:rPr>
                <w:rFonts w:ascii="Sylfaen" w:hAnsi="Sylfaen" w:cstheme="minorHAnsi"/>
                <w:b/>
                <w:sz w:val="20"/>
              </w:rPr>
              <w:t>322 635,2</w:t>
            </w:r>
          </w:p>
        </w:tc>
      </w:tr>
    </w:tbl>
    <w:p w:rsidR="00086670" w:rsidRDefault="00086670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9E33C4" w:rsidRPr="00140A25" w:rsidRDefault="00B57E95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  <w:r w:rsidRPr="00140A25"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396821" w:rsidRDefault="00F274F7" w:rsidP="00F274F7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202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E97A98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E0B8E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5043A4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6B56B0" w:rsidRPr="001763FC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>
        <w:rPr>
          <w:rFonts w:ascii="Sylfaen" w:hAnsi="Sylfaen" w:cs="Sylfaen"/>
          <w:szCs w:val="21"/>
          <w:shd w:val="clear" w:color="auto" w:fill="FFFFFF"/>
        </w:rPr>
        <w:t>0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>
        <w:rPr>
          <w:rFonts w:ascii="Sylfaen" w:hAnsi="Sylfaen" w:cs="Sylfaen"/>
          <w:szCs w:val="21"/>
          <w:shd w:val="clear" w:color="auto" w:fill="FFFFFF"/>
        </w:rPr>
        <w:t>7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>
        <w:rPr>
          <w:rFonts w:ascii="Sylfaen" w:hAnsi="Sylfaen" w:cs="Sylfaen"/>
          <w:szCs w:val="21"/>
          <w:shd w:val="clear" w:color="auto" w:fill="FFFFFF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%, 2 წლიანზე - 8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.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6B56B0" w:rsidRPr="001763FC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>
        <w:rPr>
          <w:rFonts w:ascii="Sylfaen" w:hAnsi="Sylfaen" w:cs="Sylfaen"/>
          <w:szCs w:val="21"/>
          <w:shd w:val="clear" w:color="auto" w:fill="FFFFFF"/>
        </w:rPr>
        <w:t>5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93049">
        <w:rPr>
          <w:rFonts w:ascii="Sylfaen" w:hAnsi="Sylfaen" w:cs="Sylfaen"/>
          <w:szCs w:val="21"/>
          <w:shd w:val="clear" w:color="auto" w:fill="FFFFFF"/>
          <w:lang w:val="ka-GE"/>
        </w:rPr>
        <w:t>8.</w:t>
      </w:r>
      <w:r>
        <w:rPr>
          <w:rFonts w:ascii="Sylfaen" w:hAnsi="Sylfaen" w:cs="Sylfaen"/>
          <w:szCs w:val="21"/>
          <w:shd w:val="clear" w:color="auto" w:fill="FFFFFF"/>
        </w:rPr>
        <w:t>5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232D4" w:rsidRDefault="00396821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</w:t>
      </w:r>
      <w:r>
        <w:rPr>
          <w:rFonts w:ascii="Sylfaen" w:hAnsi="Sylfaen" w:cs="Sylfaen"/>
          <w:shd w:val="clear" w:color="auto" w:fill="FFFFFF"/>
          <w:lang w:val="ka-GE"/>
        </w:rPr>
        <w:t>202</w:t>
      </w:r>
      <w:r w:rsidR="00F274F7">
        <w:rPr>
          <w:rFonts w:ascii="Sylfaen" w:hAnsi="Sylfaen" w:cs="Sylfaen"/>
          <w:shd w:val="clear" w:color="auto" w:fill="FFFFFF"/>
        </w:rPr>
        <w:t>1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993049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F274F7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F274F7">
        <w:rPr>
          <w:rFonts w:ascii="Sylfaen" w:hAnsi="Sylfaen" w:cs="Sylfaen"/>
          <w:shd w:val="clear" w:color="auto" w:fill="FFFFFF"/>
          <w:lang w:val="ka-GE"/>
        </w:rPr>
        <w:t>5,901.4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</w:t>
      </w:r>
      <w:r w:rsidRPr="008A7B7D">
        <w:rPr>
          <w:rFonts w:ascii="Sylfaen" w:hAnsi="Sylfaen" w:cs="Sylfaen"/>
          <w:lang w:val="ka-GE"/>
        </w:rPr>
        <w:t xml:space="preserve">- </w:t>
      </w:r>
      <w:r w:rsidR="00F274F7">
        <w:rPr>
          <w:rFonts w:ascii="Sylfaen" w:hAnsi="Sylfaen" w:cs="Sylfaen"/>
          <w:lang w:val="ka-GE"/>
        </w:rPr>
        <w:t>5</w:t>
      </w:r>
      <w:r w:rsidR="00993049">
        <w:rPr>
          <w:rFonts w:ascii="Sylfaen" w:hAnsi="Sylfaen" w:cs="Sylfaen"/>
          <w:lang w:val="ka-GE"/>
        </w:rPr>
        <w:t>,</w:t>
      </w:r>
      <w:r w:rsidR="00F274F7">
        <w:rPr>
          <w:rFonts w:ascii="Sylfaen" w:hAnsi="Sylfaen" w:cs="Sylfaen"/>
          <w:lang w:val="ka-GE"/>
        </w:rPr>
        <w:t>878</w:t>
      </w:r>
      <w:r w:rsidR="00993049">
        <w:rPr>
          <w:rFonts w:ascii="Sylfaen" w:hAnsi="Sylfaen" w:cs="Sylfaen"/>
          <w:lang w:val="ka-GE"/>
        </w:rPr>
        <w:t>.</w:t>
      </w:r>
      <w:r w:rsidR="00F274F7">
        <w:rPr>
          <w:rFonts w:ascii="Sylfaen" w:hAnsi="Sylfaen" w:cs="Sylfaen"/>
          <w:lang w:val="ka-GE"/>
        </w:rPr>
        <w:t>0</w:t>
      </w:r>
      <w:r w:rsidRPr="008A7B7D">
        <w:rPr>
          <w:rFonts w:ascii="Sylfaen" w:hAnsi="Sylfaen" w:cs="Sylfaen"/>
          <w:lang w:val="ka-GE"/>
        </w:rPr>
        <w:t xml:space="preserve"> მლნ ლარი და </w:t>
      </w:r>
      <w:r w:rsidRPr="008A7B7D">
        <w:rPr>
          <w:rFonts w:ascii="Sylfaen" w:hAnsi="Sylfaen"/>
          <w:szCs w:val="21"/>
          <w:lang w:val="ka-GE"/>
        </w:rPr>
        <w:t xml:space="preserve">საბიუჯეტო ორგანიზაციების სესხის სახით არსებულ ნაშთი - </w:t>
      </w:r>
      <w:r w:rsidR="00F274F7">
        <w:rPr>
          <w:rFonts w:ascii="Sylfaen" w:hAnsi="Sylfaen"/>
          <w:szCs w:val="21"/>
          <w:lang w:val="ka-GE"/>
        </w:rPr>
        <w:t>27</w:t>
      </w:r>
      <w:r w:rsidR="00993049">
        <w:rPr>
          <w:rFonts w:ascii="Sylfaen" w:hAnsi="Sylfaen"/>
          <w:szCs w:val="21"/>
          <w:lang w:val="ka-GE"/>
        </w:rPr>
        <w:t>.</w:t>
      </w:r>
      <w:r w:rsidR="00F274F7">
        <w:rPr>
          <w:rFonts w:ascii="Sylfaen" w:hAnsi="Sylfaen"/>
          <w:szCs w:val="21"/>
          <w:lang w:val="ka-GE"/>
        </w:rPr>
        <w:t>3</w:t>
      </w:r>
      <w:r w:rsidRPr="008A7B7D">
        <w:rPr>
          <w:rFonts w:ascii="Sylfaen" w:hAnsi="Sylfaen"/>
          <w:szCs w:val="21"/>
          <w:lang w:val="ka-GE"/>
        </w:rPr>
        <w:t xml:space="preserve"> მლნ ლარი</w:t>
      </w:r>
      <w:r w:rsidRPr="008A7B7D">
        <w:rPr>
          <w:rFonts w:ascii="Sylfaen" w:hAnsi="Sylfaen" w:cs="Sylfaen"/>
          <w:lang w:val="ka-GE"/>
        </w:rPr>
        <w:t>), აქედან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993049">
        <w:rPr>
          <w:rFonts w:ascii="Sylfaen" w:hAnsi="Sylfaen" w:cs="Sylfaen"/>
          <w:shd w:val="clear" w:color="auto" w:fill="FFFFFF"/>
          <w:lang w:val="ka-GE"/>
        </w:rPr>
        <w:t>5,</w:t>
      </w:r>
      <w:r w:rsidR="00F274F7">
        <w:rPr>
          <w:rFonts w:ascii="Sylfaen" w:hAnsi="Sylfaen" w:cs="Sylfaen"/>
          <w:shd w:val="clear" w:color="auto" w:fill="FFFFFF"/>
          <w:lang w:val="ka-GE"/>
        </w:rPr>
        <w:t>531</w:t>
      </w:r>
      <w:r w:rsidR="00993049">
        <w:rPr>
          <w:rFonts w:ascii="Sylfaen" w:hAnsi="Sylfaen" w:cs="Sylfaen"/>
          <w:shd w:val="clear" w:color="auto" w:fill="FFFFFF"/>
          <w:lang w:val="ka-GE"/>
        </w:rPr>
        <w:t>.</w:t>
      </w:r>
      <w:r w:rsidR="00F274F7">
        <w:rPr>
          <w:rFonts w:ascii="Sylfaen" w:hAnsi="Sylfaen" w:cs="Sylfaen"/>
          <w:shd w:val="clear" w:color="auto" w:fill="FFFFFF"/>
          <w:lang w:val="ka-GE"/>
        </w:rPr>
        <w:t>3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993049">
        <w:rPr>
          <w:rFonts w:ascii="Sylfaen" w:hAnsi="Sylfaen" w:cs="Sylfaen"/>
          <w:shd w:val="clear" w:color="auto" w:fill="FFFFFF"/>
          <w:lang w:val="ka-GE"/>
        </w:rPr>
        <w:t>3</w:t>
      </w:r>
      <w:r w:rsidR="00F274F7">
        <w:rPr>
          <w:rFonts w:ascii="Sylfaen" w:hAnsi="Sylfaen" w:cs="Sylfaen"/>
          <w:shd w:val="clear" w:color="auto" w:fill="FFFFFF"/>
          <w:lang w:val="ka-GE"/>
        </w:rPr>
        <w:t>4</w:t>
      </w:r>
      <w:r w:rsidR="00993049">
        <w:rPr>
          <w:rFonts w:ascii="Sylfaen" w:hAnsi="Sylfaen" w:cs="Sylfaen"/>
          <w:shd w:val="clear" w:color="auto" w:fill="FFFFFF"/>
          <w:lang w:val="ka-GE"/>
        </w:rPr>
        <w:t>2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Pr="00576720">
        <w:rPr>
          <w:rFonts w:ascii="Sylfaen" w:hAnsi="Sylfaen" w:cs="Sylfaen"/>
          <w:shd w:val="clear" w:color="auto" w:fill="FFFFFF"/>
          <w:lang w:val="ka-GE"/>
        </w:rPr>
        <w:t>8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F274F7">
        <w:rPr>
          <w:rFonts w:ascii="Sylfaen" w:hAnsi="Sylfaen"/>
          <w:szCs w:val="21"/>
          <w:shd w:val="clear" w:color="auto" w:fill="FFFFFF"/>
          <w:lang w:val="ka-GE"/>
        </w:rPr>
        <w:t>27</w:t>
      </w:r>
      <w:r w:rsidR="00C67377">
        <w:rPr>
          <w:rFonts w:ascii="Sylfaen" w:hAnsi="Sylfaen"/>
          <w:szCs w:val="21"/>
          <w:shd w:val="clear" w:color="auto" w:fill="FFFFFF"/>
        </w:rPr>
        <w:t>.</w:t>
      </w:r>
      <w:r w:rsidR="00F274F7">
        <w:rPr>
          <w:rFonts w:ascii="Sylfaen" w:hAnsi="Sylfaen"/>
          <w:szCs w:val="21"/>
          <w:shd w:val="clear" w:color="auto" w:fill="FFFFFF"/>
          <w:lang w:val="ka-GE"/>
        </w:rPr>
        <w:t>3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B232D4" w:rsidRDefault="00B232D4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396821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F274F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1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99304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31 </w:t>
      </w:r>
      <w:r w:rsidR="00F274F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მარტის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2672E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B79CB" w:rsidRDefault="00396821" w:rsidP="00396821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BB79C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078"/>
      </w:tblGrid>
      <w:tr w:rsidR="0077274B" w:rsidRPr="00480AB4" w:rsidTr="008E6116">
        <w:trPr>
          <w:trHeight w:val="343"/>
          <w:jc w:val="center"/>
        </w:trPr>
        <w:tc>
          <w:tcPr>
            <w:tcW w:w="3539" w:type="pct"/>
            <w:vAlign w:val="center"/>
            <w:hideMark/>
          </w:tcPr>
          <w:p w:rsidR="0077274B" w:rsidRPr="0077274B" w:rsidRDefault="0077274B" w:rsidP="007727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hideMark/>
          </w:tcPr>
          <w:p w:rsidR="0077274B" w:rsidRPr="00202DDD" w:rsidRDefault="00F274F7" w:rsidP="00F274F7">
            <w:pPr>
              <w:jc w:val="righ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02DDD">
              <w:rPr>
                <w:b/>
                <w:sz w:val="24"/>
                <w:szCs w:val="24"/>
              </w:rPr>
              <w:t>5</w:t>
            </w:r>
            <w:r w:rsidR="005134D5" w:rsidRPr="00202DDD">
              <w:rPr>
                <w:b/>
                <w:sz w:val="24"/>
                <w:szCs w:val="24"/>
              </w:rPr>
              <w:t xml:space="preserve"> </w:t>
            </w:r>
            <w:r w:rsidRPr="00202DDD">
              <w:rPr>
                <w:b/>
                <w:sz w:val="24"/>
                <w:szCs w:val="24"/>
              </w:rPr>
              <w:t>905</w:t>
            </w:r>
            <w:r w:rsidR="005134D5" w:rsidRPr="00202DDD">
              <w:rPr>
                <w:b/>
                <w:sz w:val="24"/>
                <w:szCs w:val="24"/>
              </w:rPr>
              <w:t xml:space="preserve"> </w:t>
            </w:r>
            <w:r w:rsidRPr="00202DDD">
              <w:rPr>
                <w:b/>
                <w:sz w:val="24"/>
                <w:szCs w:val="24"/>
              </w:rPr>
              <w:t>267</w:t>
            </w:r>
            <w:r w:rsidR="0077274B" w:rsidRPr="00202DDD">
              <w:rPr>
                <w:b/>
                <w:sz w:val="24"/>
                <w:szCs w:val="24"/>
              </w:rPr>
              <w:t>,</w:t>
            </w:r>
            <w:r w:rsidRPr="00202DDD">
              <w:rPr>
                <w:b/>
                <w:sz w:val="24"/>
                <w:szCs w:val="24"/>
              </w:rPr>
              <w:t>9</w:t>
            </w:r>
          </w:p>
        </w:tc>
      </w:tr>
      <w:tr w:rsidR="0077274B" w:rsidRPr="00480AB4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77274B" w:rsidRDefault="0077274B" w:rsidP="007727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461" w:type="pct"/>
            <w:hideMark/>
          </w:tcPr>
          <w:p w:rsidR="0077274B" w:rsidRPr="0077274B" w:rsidRDefault="0077274B" w:rsidP="00F274F7">
            <w:pPr>
              <w:jc w:val="right"/>
              <w:rPr>
                <w:b/>
              </w:rPr>
            </w:pPr>
            <w:r w:rsidRPr="0077274B">
              <w:rPr>
                <w:b/>
              </w:rPr>
              <w:t xml:space="preserve">5 </w:t>
            </w:r>
            <w:r w:rsidR="00F274F7" w:rsidRPr="00F274F7">
              <w:rPr>
                <w:b/>
              </w:rPr>
              <w:t>535</w:t>
            </w:r>
            <w:r w:rsidRPr="0077274B">
              <w:rPr>
                <w:b/>
              </w:rPr>
              <w:t xml:space="preserve"> </w:t>
            </w:r>
            <w:r w:rsidR="00F274F7" w:rsidRPr="00F274F7">
              <w:rPr>
                <w:b/>
              </w:rPr>
              <w:t>157</w:t>
            </w:r>
            <w:r w:rsidRPr="0077274B">
              <w:rPr>
                <w:b/>
              </w:rPr>
              <w:t>,0</w:t>
            </w:r>
          </w:p>
        </w:tc>
      </w:tr>
      <w:tr w:rsidR="0077274B" w:rsidRPr="00480AB4" w:rsidTr="008E6116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</w:p>
        </w:tc>
        <w:tc>
          <w:tcPr>
            <w:tcW w:w="1461" w:type="pct"/>
          </w:tcPr>
          <w:p w:rsidR="0077274B" w:rsidRPr="005A0685" w:rsidRDefault="00202DDD" w:rsidP="0077274B">
            <w:pPr>
              <w:jc w:val="right"/>
            </w:pPr>
            <w:r w:rsidRPr="00202DDD">
              <w:t>9</w:t>
            </w:r>
            <w:r w:rsidR="005134D5" w:rsidRPr="005134D5">
              <w:t xml:space="preserve">0 </w:t>
            </w:r>
            <w:r w:rsidR="0077274B" w:rsidRPr="005A0685">
              <w:t>000,0</w:t>
            </w:r>
          </w:p>
        </w:tc>
      </w:tr>
      <w:tr w:rsidR="0077274B" w:rsidRPr="00480AB4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461" w:type="pct"/>
            <w:hideMark/>
          </w:tcPr>
          <w:p w:rsidR="0077274B" w:rsidRPr="005A0685" w:rsidRDefault="00202DDD" w:rsidP="005134D5">
            <w:pPr>
              <w:jc w:val="right"/>
            </w:pPr>
            <w:r w:rsidRPr="00202DDD">
              <w:t>54</w:t>
            </w:r>
            <w:r w:rsidR="0077274B" w:rsidRPr="005A0685">
              <w:t>0 000,0</w:t>
            </w:r>
          </w:p>
        </w:tc>
      </w:tr>
      <w:tr w:rsidR="0077274B" w:rsidRPr="00480AB4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461" w:type="pct"/>
            <w:hideMark/>
          </w:tcPr>
          <w:p w:rsidR="0077274B" w:rsidRPr="005A0685" w:rsidRDefault="0077274B" w:rsidP="00202DDD">
            <w:pPr>
              <w:jc w:val="right"/>
            </w:pPr>
            <w:r w:rsidRPr="005A0685">
              <w:t xml:space="preserve">1 </w:t>
            </w:r>
            <w:r w:rsidR="00202DDD" w:rsidRPr="00202DDD">
              <w:t>27</w:t>
            </w:r>
            <w:r w:rsidR="005134D5" w:rsidRPr="005134D5">
              <w:t>0</w:t>
            </w:r>
            <w:r w:rsidRPr="005A0685">
              <w:t xml:space="preserve"> 000,0</w:t>
            </w:r>
          </w:p>
        </w:tc>
      </w:tr>
      <w:tr w:rsidR="0077274B" w:rsidRPr="00480AB4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77274B" w:rsidRPr="005A0685" w:rsidRDefault="00202DDD" w:rsidP="00202DDD">
            <w:pPr>
              <w:jc w:val="right"/>
            </w:pPr>
            <w:r w:rsidRPr="00202DDD">
              <w:t>2</w:t>
            </w:r>
            <w:r w:rsidR="0077274B" w:rsidRPr="005A0685">
              <w:t xml:space="preserve"> </w:t>
            </w:r>
            <w:r w:rsidRPr="00202DDD">
              <w:t>373</w:t>
            </w:r>
            <w:r w:rsidR="0077274B" w:rsidRPr="005A0685">
              <w:t xml:space="preserve"> </w:t>
            </w:r>
            <w:r w:rsidRPr="00202DDD">
              <w:t>339</w:t>
            </w:r>
            <w:r w:rsidR="0077274B" w:rsidRPr="005A0685">
              <w:t>,0</w:t>
            </w:r>
          </w:p>
        </w:tc>
      </w:tr>
      <w:tr w:rsidR="0077274B" w:rsidRPr="00480AB4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77274B" w:rsidRPr="005A0685" w:rsidRDefault="0077274B" w:rsidP="00202DDD">
            <w:pPr>
              <w:jc w:val="right"/>
            </w:pPr>
            <w:r w:rsidRPr="005A0685">
              <w:t xml:space="preserve">1 </w:t>
            </w:r>
            <w:r w:rsidR="005134D5" w:rsidRPr="005134D5">
              <w:t>2</w:t>
            </w:r>
            <w:r w:rsidR="00202DDD">
              <w:rPr>
                <w:rFonts w:ascii="Sylfaen" w:hAnsi="Sylfaen"/>
                <w:lang w:val="ka-GE"/>
              </w:rPr>
              <w:t>61</w:t>
            </w:r>
            <w:r w:rsidRPr="005A0685">
              <w:t xml:space="preserve"> 818,0</w:t>
            </w:r>
          </w:p>
        </w:tc>
      </w:tr>
      <w:tr w:rsidR="0077274B" w:rsidRPr="00480AB4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77274B" w:rsidRDefault="0077274B" w:rsidP="007727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7727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461" w:type="pct"/>
          </w:tcPr>
          <w:p w:rsidR="0077274B" w:rsidRPr="0077274B" w:rsidRDefault="005134D5" w:rsidP="00202DDD">
            <w:pPr>
              <w:jc w:val="right"/>
              <w:rPr>
                <w:b/>
              </w:rPr>
            </w:pPr>
            <w:r w:rsidRPr="005134D5">
              <w:rPr>
                <w:b/>
              </w:rPr>
              <w:t>3</w:t>
            </w:r>
            <w:r w:rsidR="00202DDD" w:rsidRPr="00202DDD">
              <w:rPr>
                <w:b/>
              </w:rPr>
              <w:t>4</w:t>
            </w:r>
            <w:r w:rsidRPr="005134D5">
              <w:rPr>
                <w:b/>
              </w:rPr>
              <w:t>2</w:t>
            </w:r>
            <w:r w:rsidR="0077274B" w:rsidRPr="0077274B">
              <w:rPr>
                <w:b/>
              </w:rPr>
              <w:t xml:space="preserve"> 846,0</w:t>
            </w:r>
          </w:p>
        </w:tc>
      </w:tr>
      <w:tr w:rsidR="0077274B" w:rsidRPr="00480AB4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461" w:type="pct"/>
            <w:hideMark/>
          </w:tcPr>
          <w:p w:rsidR="0077274B" w:rsidRPr="005A0685" w:rsidRDefault="00202DDD" w:rsidP="0077274B">
            <w:pPr>
              <w:jc w:val="right"/>
            </w:pPr>
            <w:r w:rsidRPr="00202DDD">
              <w:t>160</w:t>
            </w:r>
            <w:r w:rsidR="0077274B" w:rsidRPr="005A0685">
              <w:t xml:space="preserve"> 846,0</w:t>
            </w:r>
          </w:p>
        </w:tc>
      </w:tr>
      <w:tr w:rsidR="0077274B" w:rsidRPr="00480AB4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77274B" w:rsidRDefault="0077274B" w:rsidP="0077274B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77274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77274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461" w:type="pct"/>
            <w:hideMark/>
          </w:tcPr>
          <w:p w:rsidR="0077274B" w:rsidRPr="005A0685" w:rsidRDefault="0077274B" w:rsidP="00202DDD">
            <w:pPr>
              <w:jc w:val="right"/>
            </w:pPr>
            <w:r w:rsidRPr="005A0685">
              <w:t>1</w:t>
            </w:r>
            <w:r w:rsidR="00202DDD" w:rsidRPr="00202DDD">
              <w:t>8</w:t>
            </w:r>
            <w:r w:rsidR="005134D5" w:rsidRPr="005134D5">
              <w:t>2</w:t>
            </w:r>
            <w:r w:rsidRPr="005A0685">
              <w:t xml:space="preserve"> 000,0</w:t>
            </w:r>
          </w:p>
        </w:tc>
      </w:tr>
      <w:tr w:rsidR="0077274B" w:rsidRPr="00B34FAA" w:rsidTr="008E6116">
        <w:trPr>
          <w:trHeight w:val="288"/>
          <w:jc w:val="center"/>
        </w:trPr>
        <w:tc>
          <w:tcPr>
            <w:tcW w:w="3539" w:type="pct"/>
            <w:vAlign w:val="center"/>
          </w:tcPr>
          <w:p w:rsidR="0077274B" w:rsidRPr="0077274B" w:rsidRDefault="0077274B" w:rsidP="0077274B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 ორგანიზაციების სესხის სახით არსებულ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ნაშ</w:t>
            </w:r>
            <w:r w:rsidRPr="0077274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461" w:type="pct"/>
          </w:tcPr>
          <w:p w:rsidR="0077274B" w:rsidRPr="00202DDD" w:rsidRDefault="00202DDD" w:rsidP="00202DDD">
            <w:pPr>
              <w:jc w:val="right"/>
              <w:rPr>
                <w:b/>
              </w:rPr>
            </w:pPr>
            <w:r w:rsidRPr="00202DDD">
              <w:rPr>
                <w:b/>
              </w:rPr>
              <w:t>27</w:t>
            </w:r>
            <w:r w:rsidR="0077274B" w:rsidRPr="0077274B">
              <w:rPr>
                <w:b/>
              </w:rPr>
              <w:t xml:space="preserve"> </w:t>
            </w:r>
            <w:r w:rsidRPr="00202DDD">
              <w:rPr>
                <w:b/>
              </w:rPr>
              <w:t>264</w:t>
            </w:r>
            <w:r w:rsidR="0077274B" w:rsidRPr="0077274B">
              <w:rPr>
                <w:b/>
              </w:rPr>
              <w:t>,</w:t>
            </w:r>
            <w:r w:rsidRPr="00202DDD">
              <w:rPr>
                <w:b/>
              </w:rPr>
              <w:t>9</w:t>
            </w:r>
          </w:p>
        </w:tc>
      </w:tr>
    </w:tbl>
    <w:p w:rsidR="00396821" w:rsidRPr="00C367E2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396821" w:rsidRPr="0077274B" w:rsidRDefault="00B4541C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>202</w:t>
      </w:r>
      <w:r w:rsidR="00202DDD">
        <w:rPr>
          <w:rFonts w:ascii="Sylfaen" w:hAnsi="Sylfaen" w:cs="Sylfaen"/>
          <w:lang w:val="ka-GE"/>
        </w:rPr>
        <w:t>1</w:t>
      </w:r>
      <w:r w:rsidR="00396821" w:rsidRPr="0077274B">
        <w:rPr>
          <w:rFonts w:ascii="Sylfaen" w:hAnsi="Sylfaen" w:cs="Sylfaen"/>
          <w:lang w:val="ka-GE"/>
        </w:rPr>
        <w:t xml:space="preserve"> წლის </w:t>
      </w:r>
      <w:r w:rsidR="006B56B0" w:rsidRPr="0077274B">
        <w:rPr>
          <w:rFonts w:ascii="Sylfaen" w:hAnsi="Sylfaen" w:cs="Sylfaen"/>
          <w:szCs w:val="18"/>
          <w:shd w:val="clear" w:color="auto" w:fill="FFFFFF"/>
          <w:lang w:val="ka-GE"/>
        </w:rPr>
        <w:t>3</w:t>
      </w:r>
      <w:r w:rsidR="005134D5">
        <w:rPr>
          <w:rFonts w:ascii="Sylfaen" w:hAnsi="Sylfaen" w:cs="Sylfaen"/>
          <w:szCs w:val="18"/>
          <w:shd w:val="clear" w:color="auto" w:fill="FFFFFF"/>
          <w:lang w:val="ka-GE"/>
        </w:rPr>
        <w:t>1</w:t>
      </w:r>
      <w:r w:rsidR="00396821" w:rsidRPr="0077274B">
        <w:rPr>
          <w:rFonts w:ascii="Sylfaen" w:hAnsi="Sylfaen" w:cs="Sylfaen"/>
          <w:szCs w:val="18"/>
          <w:shd w:val="clear" w:color="auto" w:fill="FFFFFF"/>
        </w:rPr>
        <w:t xml:space="preserve"> </w:t>
      </w:r>
      <w:r w:rsidR="00202DDD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5043A4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 xml:space="preserve">მდგომარეობით, 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202DDD">
        <w:rPr>
          <w:rFonts w:ascii="Sylfaen" w:hAnsi="Sylfaen" w:cs="Sylfaen"/>
          <w:lang w:val="ka-GE"/>
        </w:rPr>
        <w:t>238</w:t>
      </w:r>
      <w:r w:rsidR="005134D5">
        <w:rPr>
          <w:rFonts w:ascii="Sylfaen" w:hAnsi="Sylfaen" w:cs="Sylfaen"/>
          <w:lang w:val="ka-GE"/>
        </w:rPr>
        <w:t>,</w:t>
      </w:r>
      <w:r w:rsidR="005134D5" w:rsidRPr="005134D5">
        <w:rPr>
          <w:rFonts w:ascii="Sylfaen" w:hAnsi="Sylfaen" w:cs="Sylfaen"/>
          <w:lang w:val="ka-GE"/>
        </w:rPr>
        <w:t>1</w:t>
      </w:r>
      <w:r w:rsidR="00202DDD">
        <w:rPr>
          <w:rFonts w:ascii="Sylfaen" w:hAnsi="Sylfaen" w:cs="Sylfaen"/>
          <w:lang w:val="ka-GE"/>
        </w:rPr>
        <w:t>00</w:t>
      </w:r>
      <w:r w:rsidR="005134D5">
        <w:rPr>
          <w:rFonts w:ascii="Sylfaen" w:hAnsi="Sylfaen" w:cs="Sylfaen"/>
          <w:lang w:val="ka-GE"/>
        </w:rPr>
        <w:t>.</w:t>
      </w:r>
      <w:r w:rsidR="00202DDD">
        <w:rPr>
          <w:rFonts w:ascii="Sylfaen" w:hAnsi="Sylfaen" w:cs="Sylfaen"/>
          <w:lang w:val="ka-GE"/>
        </w:rPr>
        <w:t>1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ლარი, ძირითადი თანხის დაფარვამ კი</w:t>
      </w:r>
      <w:r w:rsidR="00396821" w:rsidRPr="0077274B">
        <w:rPr>
          <w:rFonts w:ascii="Sylfaen" w:hAnsi="Sylfaen" w:cs="Sylfaen"/>
        </w:rPr>
        <w:t xml:space="preserve"> </w:t>
      </w:r>
      <w:r w:rsidR="00202DDD">
        <w:rPr>
          <w:rFonts w:ascii="Sylfaen" w:hAnsi="Sylfaen" w:cs="Sylfaen"/>
          <w:lang w:val="ka-GE"/>
        </w:rPr>
        <w:t>499</w:t>
      </w:r>
      <w:r w:rsidR="005134D5">
        <w:rPr>
          <w:rFonts w:ascii="Sylfaen" w:hAnsi="Sylfaen" w:cs="Sylfaen"/>
          <w:lang w:val="ka-GE"/>
        </w:rPr>
        <w:t>,</w:t>
      </w:r>
      <w:r w:rsidR="00202DDD">
        <w:rPr>
          <w:rFonts w:ascii="Sylfaen" w:hAnsi="Sylfaen" w:cs="Sylfaen"/>
          <w:lang w:val="ka-GE"/>
        </w:rPr>
        <w:t>230</w:t>
      </w:r>
      <w:r w:rsidR="005134D5">
        <w:rPr>
          <w:rFonts w:ascii="Sylfaen" w:hAnsi="Sylfaen" w:cs="Sylfaen"/>
          <w:lang w:val="ka-GE"/>
        </w:rPr>
        <w:t>.</w:t>
      </w:r>
      <w:r w:rsidR="00202DDD">
        <w:rPr>
          <w:rFonts w:ascii="Sylfaen" w:hAnsi="Sylfaen" w:cs="Sylfaen"/>
          <w:lang w:val="ka-GE"/>
        </w:rPr>
        <w:t>9</w:t>
      </w:r>
      <w:r w:rsidR="0077274B" w:rsidRPr="0077274B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ლარი. შესაბამისად</w:t>
      </w:r>
      <w:r w:rsidR="00396821" w:rsidRPr="0077274B">
        <w:rPr>
          <w:rFonts w:ascii="Sylfaen" w:hAnsi="Sylfaen" w:cs="Sylfaen"/>
        </w:rPr>
        <w:t>,</w:t>
      </w:r>
      <w:r w:rsidR="00396821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202DDD">
        <w:rPr>
          <w:rFonts w:ascii="Sylfaen" w:hAnsi="Sylfaen" w:cs="Sylfaen"/>
          <w:szCs w:val="21"/>
          <w:shd w:val="clear" w:color="auto" w:fill="FFFFFF"/>
          <w:lang w:val="ka-GE"/>
        </w:rPr>
        <w:t>კლება</w:t>
      </w:r>
      <w:r w:rsidR="00396821" w:rsidRPr="0077274B">
        <w:rPr>
          <w:rFonts w:ascii="Sylfaen" w:hAnsi="Sylfaen" w:cs="Sylfaen"/>
          <w:lang w:val="ka-GE"/>
        </w:rPr>
        <w:t xml:space="preserve"> </w:t>
      </w:r>
      <w:r w:rsidR="00202DDD">
        <w:rPr>
          <w:rFonts w:ascii="Sylfaen" w:hAnsi="Sylfaen" w:cs="Sylfaen"/>
          <w:lang w:val="ka-GE"/>
        </w:rPr>
        <w:t>261</w:t>
      </w:r>
      <w:r w:rsidR="005134D5">
        <w:rPr>
          <w:rFonts w:ascii="Sylfaen" w:hAnsi="Sylfaen" w:cs="Sylfaen"/>
          <w:lang w:val="ka-GE"/>
        </w:rPr>
        <w:t>,</w:t>
      </w:r>
      <w:r w:rsidR="00202DDD">
        <w:rPr>
          <w:rFonts w:ascii="Sylfaen" w:hAnsi="Sylfaen" w:cs="Sylfaen"/>
          <w:lang w:val="ka-GE"/>
        </w:rPr>
        <w:t>130</w:t>
      </w:r>
      <w:r w:rsidR="005134D5">
        <w:rPr>
          <w:rFonts w:ascii="Sylfaen" w:hAnsi="Sylfaen" w:cs="Sylfaen"/>
          <w:lang w:val="ka-GE"/>
        </w:rPr>
        <w:t>.</w:t>
      </w:r>
      <w:r w:rsidR="00202DDD">
        <w:rPr>
          <w:rFonts w:ascii="Sylfaen" w:hAnsi="Sylfaen" w:cs="Sylfaen"/>
          <w:lang w:val="ka-GE"/>
        </w:rPr>
        <w:t>7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ლარით განისაზღვრა.</w:t>
      </w:r>
    </w:p>
    <w:p w:rsidR="00F80CC1" w:rsidRPr="0077274B" w:rsidRDefault="00202DDD" w:rsidP="00F80CC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2021</w:t>
      </w:r>
      <w:r w:rsidR="00F80CC1" w:rsidRPr="0077274B">
        <w:rPr>
          <w:rFonts w:ascii="Sylfaen" w:hAnsi="Sylfaen" w:cs="Sylfaen"/>
          <w:lang w:val="ka-GE"/>
        </w:rPr>
        <w:t xml:space="preserve"> წლის </w:t>
      </w:r>
      <w:r>
        <w:rPr>
          <w:rFonts w:ascii="Sylfaen" w:hAnsi="Sylfaen" w:cs="Sylfaen"/>
        </w:rPr>
        <w:t xml:space="preserve">I </w:t>
      </w:r>
      <w:r>
        <w:rPr>
          <w:rFonts w:ascii="Sylfaen" w:hAnsi="Sylfaen" w:cs="Sylfaen"/>
          <w:lang w:val="ka-GE"/>
        </w:rPr>
        <w:t xml:space="preserve">კვარტლის </w:t>
      </w:r>
      <w:r w:rsidR="00F80CC1" w:rsidRPr="0077274B">
        <w:rPr>
          <w:rFonts w:ascii="Sylfaen" w:hAnsi="Sylfaen" w:cs="Sylfaen"/>
          <w:lang w:val="ka-GE"/>
        </w:rPr>
        <w:t xml:space="preserve">განმავლობაში, საშინაო ვალდებულებების მომსახურების და დაფარვისთვის სახელმწიფო ბიუჯეტიდან გაწეულმა ხარჯმა შეადგინა </w:t>
      </w:r>
      <w:r>
        <w:rPr>
          <w:rFonts w:ascii="Sylfaen" w:hAnsi="Sylfaen" w:cs="Sylfaen"/>
          <w:lang w:val="ka-GE"/>
        </w:rPr>
        <w:t>133</w:t>
      </w:r>
      <w:r w:rsidR="00951B71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  <w:lang w:val="ka-GE"/>
        </w:rPr>
        <w:t>381</w:t>
      </w:r>
      <w:r w:rsidR="00951B71">
        <w:rPr>
          <w:rFonts w:ascii="Sylfaen" w:hAnsi="Sylfaen" w:cs="Sylfaen"/>
          <w:lang w:val="ka-GE"/>
        </w:rPr>
        <w:t xml:space="preserve">.1 </w:t>
      </w:r>
      <w:r w:rsidR="00F80CC1" w:rsidRPr="0077274B">
        <w:rPr>
          <w:rFonts w:ascii="Sylfaen" w:hAnsi="Sylfaen" w:cs="Sylfaen"/>
          <w:lang w:val="ka-GE"/>
        </w:rPr>
        <w:t>ათასი ლარი. მათ შორის:</w:t>
      </w:r>
    </w:p>
    <w:p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„ობლიგაციები ღია ბაზრისთვის“  ძირითადი თანხის დაფარვა   - </w:t>
      </w:r>
      <w:r w:rsidR="005D31E4">
        <w:rPr>
          <w:rFonts w:ascii="Sylfaen" w:hAnsi="Sylfaen" w:cs="Sylfaen"/>
          <w:lang w:val="ka-GE"/>
        </w:rPr>
        <w:t>1</w:t>
      </w:r>
      <w:r w:rsidR="00951B71">
        <w:rPr>
          <w:rFonts w:ascii="Sylfaen" w:hAnsi="Sylfaen" w:cs="Sylfaen"/>
          <w:lang w:val="ka-GE"/>
        </w:rPr>
        <w:t>0</w:t>
      </w:r>
      <w:r w:rsidRPr="0077274B">
        <w:rPr>
          <w:rFonts w:ascii="Sylfaen" w:hAnsi="Sylfaen" w:cs="Sylfaen"/>
          <w:lang w:val="ka-GE"/>
        </w:rPr>
        <w:t>,000.0 ათასი ლარი;</w:t>
      </w:r>
    </w:p>
    <w:p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„ობლიგაციები ღია ბაზრისთვის“ მომსახურება - </w:t>
      </w:r>
      <w:r w:rsidR="005D31E4">
        <w:rPr>
          <w:rFonts w:ascii="Sylfaen" w:hAnsi="Sylfaen" w:cs="Sylfaen"/>
          <w:lang w:val="ka-GE"/>
        </w:rPr>
        <w:t>3</w:t>
      </w:r>
      <w:r w:rsidR="00951B71">
        <w:rPr>
          <w:rFonts w:ascii="Sylfaen" w:hAnsi="Sylfaen" w:cs="Sylfaen"/>
          <w:lang w:val="ka-GE"/>
        </w:rPr>
        <w:t>,</w:t>
      </w:r>
      <w:r w:rsidR="005D31E4">
        <w:rPr>
          <w:rFonts w:ascii="Sylfaen" w:hAnsi="Sylfaen" w:cs="Sylfaen"/>
          <w:lang w:val="ka-GE"/>
        </w:rPr>
        <w:t>238</w:t>
      </w:r>
      <w:r w:rsidR="00951B71">
        <w:rPr>
          <w:rFonts w:ascii="Sylfaen" w:hAnsi="Sylfaen" w:cs="Sylfaen"/>
          <w:lang w:val="ka-GE"/>
        </w:rPr>
        <w:t>.</w:t>
      </w:r>
      <w:r w:rsidR="005D31E4">
        <w:rPr>
          <w:rFonts w:ascii="Sylfaen" w:hAnsi="Sylfaen" w:cs="Sylfaen"/>
          <w:lang w:val="ka-GE"/>
        </w:rPr>
        <w:t>8</w:t>
      </w:r>
      <w:r w:rsidRPr="0077274B">
        <w:rPr>
          <w:rFonts w:ascii="Sylfaen" w:hAnsi="Sylfaen" w:cs="Sylfaen"/>
          <w:lang w:val="ka-GE"/>
        </w:rPr>
        <w:t xml:space="preserve"> ათასი ლარი;</w:t>
      </w:r>
    </w:p>
    <w:p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„ობლიგაცია სებ-ისთვის“ მომსახურება - </w:t>
      </w:r>
      <w:r w:rsidR="005D31E4">
        <w:rPr>
          <w:rFonts w:ascii="Sylfaen" w:hAnsi="Sylfaen" w:cs="Sylfaen"/>
          <w:lang w:val="ka-GE"/>
        </w:rPr>
        <w:t>4</w:t>
      </w:r>
      <w:r w:rsidR="00951B71">
        <w:rPr>
          <w:rFonts w:ascii="Sylfaen" w:hAnsi="Sylfaen" w:cs="Sylfaen"/>
          <w:lang w:val="ka-GE"/>
        </w:rPr>
        <w:t>,</w:t>
      </w:r>
      <w:r w:rsidR="005D31E4">
        <w:rPr>
          <w:rFonts w:ascii="Sylfaen" w:hAnsi="Sylfaen" w:cs="Sylfaen"/>
          <w:lang w:val="ka-GE"/>
        </w:rPr>
        <w:t>323</w:t>
      </w:r>
      <w:r w:rsidR="00951B71">
        <w:rPr>
          <w:rFonts w:ascii="Sylfaen" w:hAnsi="Sylfaen" w:cs="Sylfaen"/>
          <w:lang w:val="ka-GE"/>
        </w:rPr>
        <w:t>.</w:t>
      </w:r>
      <w:r w:rsidR="005D31E4">
        <w:rPr>
          <w:rFonts w:ascii="Sylfaen" w:hAnsi="Sylfaen" w:cs="Sylfaen"/>
          <w:lang w:val="ka-GE"/>
        </w:rPr>
        <w:t>2</w:t>
      </w:r>
      <w:r w:rsidR="00951B71">
        <w:rPr>
          <w:rFonts w:ascii="Sylfaen" w:hAnsi="Sylfaen" w:cs="Sylfaen"/>
          <w:lang w:val="ka-GE"/>
        </w:rPr>
        <w:t xml:space="preserve"> </w:t>
      </w:r>
      <w:r w:rsidRPr="0077274B">
        <w:rPr>
          <w:rFonts w:ascii="Sylfaen" w:hAnsi="Sylfaen" w:cs="Sylfaen"/>
          <w:lang w:val="ka-GE"/>
        </w:rPr>
        <w:t>ათასი ლარი;</w:t>
      </w:r>
    </w:p>
    <w:p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სახაზინო ვალდებულებების მომსახურება  -  </w:t>
      </w:r>
      <w:r w:rsidR="005D31E4">
        <w:rPr>
          <w:rFonts w:ascii="Sylfaen" w:hAnsi="Sylfaen" w:cs="Sylfaen"/>
          <w:lang w:val="ka-GE"/>
        </w:rPr>
        <w:t>14</w:t>
      </w:r>
      <w:r w:rsidR="00951B71">
        <w:rPr>
          <w:rFonts w:ascii="Sylfaen" w:hAnsi="Sylfaen" w:cs="Sylfaen"/>
          <w:lang w:val="ka-GE"/>
        </w:rPr>
        <w:t>,</w:t>
      </w:r>
      <w:r w:rsidR="005D31E4">
        <w:rPr>
          <w:rFonts w:ascii="Sylfaen" w:hAnsi="Sylfaen" w:cs="Sylfaen"/>
          <w:lang w:val="ka-GE"/>
        </w:rPr>
        <w:t>671</w:t>
      </w:r>
      <w:r w:rsidR="00951B71">
        <w:rPr>
          <w:rFonts w:ascii="Sylfaen" w:hAnsi="Sylfaen" w:cs="Sylfaen"/>
          <w:lang w:val="ka-GE"/>
        </w:rPr>
        <w:t>.</w:t>
      </w:r>
      <w:r w:rsidR="005D31E4">
        <w:rPr>
          <w:rFonts w:ascii="Sylfaen" w:hAnsi="Sylfaen" w:cs="Sylfaen"/>
          <w:lang w:val="ka-GE"/>
        </w:rPr>
        <w:t>0</w:t>
      </w:r>
      <w:r w:rsidR="00951B71">
        <w:rPr>
          <w:rFonts w:ascii="Sylfaen" w:hAnsi="Sylfaen" w:cs="Sylfaen"/>
          <w:lang w:val="ka-GE"/>
        </w:rPr>
        <w:t xml:space="preserve"> </w:t>
      </w:r>
      <w:r w:rsidRPr="0077274B">
        <w:rPr>
          <w:rFonts w:ascii="Sylfaen" w:hAnsi="Sylfaen" w:cs="Sylfaen"/>
          <w:lang w:val="ka-GE"/>
        </w:rPr>
        <w:t>ათასი  ლარი;</w:t>
      </w:r>
    </w:p>
    <w:p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სახაზინო ობლიგაციების მომსახურება  - </w:t>
      </w:r>
      <w:r w:rsidR="005D31E4">
        <w:rPr>
          <w:rFonts w:ascii="Sylfaen" w:hAnsi="Sylfaen" w:cs="Sylfaen"/>
          <w:lang w:val="ka-GE"/>
        </w:rPr>
        <w:t>101</w:t>
      </w:r>
      <w:r w:rsidR="00951B71">
        <w:rPr>
          <w:rFonts w:ascii="Sylfaen" w:hAnsi="Sylfaen" w:cs="Sylfaen"/>
          <w:lang w:val="ka-GE"/>
        </w:rPr>
        <w:t>,</w:t>
      </w:r>
      <w:r w:rsidR="005D31E4">
        <w:rPr>
          <w:rFonts w:ascii="Sylfaen" w:hAnsi="Sylfaen" w:cs="Sylfaen"/>
          <w:lang w:val="ka-GE"/>
        </w:rPr>
        <w:t>148</w:t>
      </w:r>
      <w:r w:rsidR="00951B71">
        <w:rPr>
          <w:rFonts w:ascii="Sylfaen" w:hAnsi="Sylfaen" w:cs="Sylfaen"/>
          <w:lang w:val="ka-GE"/>
        </w:rPr>
        <w:t>.</w:t>
      </w:r>
      <w:r w:rsidR="005D31E4">
        <w:rPr>
          <w:rFonts w:ascii="Sylfaen" w:hAnsi="Sylfaen" w:cs="Sylfaen"/>
          <w:lang w:val="ka-GE"/>
        </w:rPr>
        <w:t>2</w:t>
      </w:r>
      <w:r w:rsidR="00951B71">
        <w:rPr>
          <w:rFonts w:ascii="Sylfaen" w:hAnsi="Sylfaen" w:cs="Sylfaen"/>
          <w:lang w:val="ka-GE"/>
        </w:rPr>
        <w:t xml:space="preserve"> </w:t>
      </w:r>
      <w:r w:rsidRPr="0077274B">
        <w:rPr>
          <w:rFonts w:ascii="Sylfaen" w:hAnsi="Sylfaen" w:cs="Sylfaen"/>
          <w:lang w:val="ka-GE"/>
        </w:rPr>
        <w:t>ათასი  ლარი.</w:t>
      </w:r>
    </w:p>
    <w:p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B42ECF" w:rsidRDefault="00B42ECF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B42ECF" w:rsidRDefault="00B42ECF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F6697A" w:rsidRDefault="0075480C" w:rsidP="008D7692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3430DD">
        <w:rPr>
          <w:rFonts w:ascii="Sylfaen" w:hAnsi="Sylfaen"/>
          <w:b/>
          <w:lang w:val="ka-GE"/>
        </w:rPr>
        <w:lastRenderedPageBreak/>
        <w:t>მთავრობის</w:t>
      </w:r>
      <w:r w:rsidR="000340AB" w:rsidRPr="003430DD">
        <w:rPr>
          <w:rFonts w:ascii="Sylfaen" w:hAnsi="Sylfaen"/>
          <w:b/>
          <w:lang w:val="ka-GE"/>
        </w:rPr>
        <w:t xml:space="preserve"> ვალის </w:t>
      </w:r>
      <w:r w:rsidR="0032795B" w:rsidRPr="003430DD">
        <w:rPr>
          <w:rFonts w:ascii="Sylfaen" w:hAnsi="Sylfaen"/>
          <w:b/>
          <w:lang w:val="ka-GE"/>
        </w:rPr>
        <w:t xml:space="preserve">ნაშთი </w:t>
      </w:r>
      <w:r w:rsidR="00B4541C" w:rsidRPr="003430DD">
        <w:rPr>
          <w:rFonts w:ascii="Sylfaen" w:hAnsi="Sylfaen"/>
          <w:b/>
          <w:lang w:val="ka-GE"/>
        </w:rPr>
        <w:t>202</w:t>
      </w:r>
      <w:r w:rsidR="005D31E4">
        <w:rPr>
          <w:rFonts w:ascii="Sylfaen" w:hAnsi="Sylfaen"/>
          <w:b/>
          <w:lang w:val="ka-GE"/>
        </w:rPr>
        <w:t>1</w:t>
      </w:r>
      <w:r w:rsidR="001A397F" w:rsidRPr="003430DD">
        <w:rPr>
          <w:rFonts w:ascii="Sylfaen" w:hAnsi="Sylfaen"/>
          <w:b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 xml:space="preserve">წლის </w:t>
      </w:r>
      <w:r w:rsidR="00951B71">
        <w:rPr>
          <w:rFonts w:ascii="Sylfaen" w:hAnsi="Sylfaen"/>
          <w:b/>
          <w:lang w:val="ka-GE"/>
        </w:rPr>
        <w:t>31</w:t>
      </w:r>
      <w:r w:rsidR="00FA187E" w:rsidRPr="003430DD">
        <w:rPr>
          <w:rFonts w:ascii="Sylfaen" w:hAnsi="Sylfaen"/>
          <w:b/>
          <w:lang w:val="ka-GE"/>
        </w:rPr>
        <w:t xml:space="preserve"> </w:t>
      </w:r>
      <w:r w:rsidR="005D31E4">
        <w:rPr>
          <w:rFonts w:ascii="Sylfaen" w:hAnsi="Sylfaen" w:cs="Sylfaen"/>
          <w:b/>
          <w:szCs w:val="21"/>
          <w:shd w:val="clear" w:color="auto" w:fill="FFFFFF"/>
          <w:lang w:val="ka-GE"/>
        </w:rPr>
        <w:t>მარტის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>მდგომარეობით</w:t>
      </w:r>
    </w:p>
    <w:p w:rsidR="005D31E4" w:rsidRPr="005D31E4" w:rsidRDefault="005D31E4" w:rsidP="008D7692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sz w:val="16"/>
          <w:szCs w:val="16"/>
        </w:rPr>
      </w:pPr>
    </w:p>
    <w:p w:rsidR="00FB7087" w:rsidRPr="00AD59D0" w:rsidRDefault="00AD59D0" w:rsidP="00AD59D0">
      <w:pPr>
        <w:spacing w:after="0" w:line="240" w:lineRule="auto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AD59D0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4150CD" w:rsidRPr="00AD59D0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55"/>
        <w:gridCol w:w="2085"/>
      </w:tblGrid>
      <w:tr w:rsidR="005D31E4" w:rsidRPr="005D31E4" w:rsidTr="00B42ECF">
        <w:trPr>
          <w:trHeight w:val="840"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B04141" w:rsidP="005D31E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3430DD">
              <w:rPr>
                <w:rFonts w:ascii="Sylfaen" w:hAnsi="Sylfaen"/>
                <w:b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bookmarkStart w:id="1" w:name="RANGE!C3:D44"/>
            <w:r w:rsidR="005D31E4"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კრედიტორი </w:t>
            </w:r>
            <w:bookmarkEnd w:id="1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31.03.2021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5D31E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მდგომარეობით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5D31E4" w:rsidRPr="005D31E4" w:rsidTr="00B42ECF">
        <w:trPr>
          <w:trHeight w:val="57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25 088 491,6</w:t>
            </w:r>
          </w:p>
        </w:tc>
      </w:tr>
      <w:tr w:rsidR="005D31E4" w:rsidRPr="005D31E4" w:rsidTr="00B42ECF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18 018 613,6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მსოფლიო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6 930 509,9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სოფლის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მეურნეობის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120 306,2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სავალუტო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710 778,6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რეკონსტრუქციისა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695 929,5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5 902 518,1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2 526 055,6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ევროკავშირი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532 585,2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ინფრასტრუქტურის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581 204,9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ევროსაბჭოს განვითარების ბანკი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10 780,8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7 944,6</w:t>
            </w:r>
          </w:p>
        </w:tc>
      </w:tr>
      <w:tr w:rsidR="005D31E4" w:rsidRPr="005D31E4" w:rsidTr="00B42ECF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ორმხრივი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5 358 439,8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62 584,6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17 243,6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720,1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33 319,5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12 949,0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127 834,0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17 399,9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უზბეკეთი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176,1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უკრაინა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160,8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26 287,4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ჩინეთი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3 117,5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2 392 435,5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689 393,1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კუვეიტი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30 660,8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ნიდერლანდები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1 242,5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ამერიკა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51 627,0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1 891 288,3</w:t>
            </w:r>
          </w:p>
        </w:tc>
      </w:tr>
      <w:tr w:rsidR="005D31E4" w:rsidRPr="005D31E4" w:rsidTr="00B42ECF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1 705 900,0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ევრობონდები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1 705 900,0</w:t>
            </w:r>
          </w:p>
        </w:tc>
      </w:tr>
      <w:tr w:rsidR="005D31E4" w:rsidRPr="005D31E4" w:rsidTr="00B42ECF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გარანტიით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აღებული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5 538,3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5 538,3</w:t>
            </w:r>
          </w:p>
        </w:tc>
      </w:tr>
      <w:tr w:rsidR="005D31E4" w:rsidRPr="005D31E4" w:rsidTr="00B42ECF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 საშინაო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5 901 430,8</w:t>
            </w:r>
          </w:p>
        </w:tc>
      </w:tr>
      <w:tr w:rsidR="005D31E4" w:rsidRPr="005D31E4" w:rsidTr="00B42ECF">
        <w:trPr>
          <w:trHeight w:val="6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ეროვნული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ბანკისთვის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განკუთვნილი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ერთწლიანი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ყოველწლიურად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განახლებადი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160 846,0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სხვადასხვა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ვადის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ღია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ბაზრის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182 000,0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584 684,5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r w:rsidRPr="005D31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4 946 635,4</w:t>
            </w:r>
          </w:p>
        </w:tc>
      </w:tr>
      <w:tr w:rsidR="005D31E4" w:rsidRPr="005D31E4" w:rsidTr="00B42EC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საბიუჯეტო ორგანიზაციების სესხის სახით არსებულ ვალი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27 264,9</w:t>
            </w:r>
          </w:p>
        </w:tc>
      </w:tr>
      <w:tr w:rsidR="005D31E4" w:rsidRPr="005D31E4" w:rsidTr="00B42ECF">
        <w:trPr>
          <w:trHeight w:val="57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r w:rsidRPr="005D3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31E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5D31E4" w:rsidRPr="005D31E4" w:rsidRDefault="005D31E4" w:rsidP="005D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31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30 989 922,4</w:t>
            </w:r>
          </w:p>
        </w:tc>
      </w:tr>
      <w:bookmarkEnd w:id="0"/>
    </w:tbl>
    <w:p w:rsidR="00786EA2" w:rsidRDefault="00786EA2" w:rsidP="002D2B26">
      <w:pPr>
        <w:spacing w:after="0" w:line="240" w:lineRule="auto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</w:p>
    <w:p w:rsidR="000340AB" w:rsidRPr="00AD6A17" w:rsidRDefault="000340AB" w:rsidP="002D2B26">
      <w:pPr>
        <w:spacing w:after="0" w:line="240" w:lineRule="auto"/>
        <w:rPr>
          <w:rFonts w:ascii="Sylfaen" w:hAnsi="Sylfaen" w:cs="Sylfaen"/>
          <w:i/>
          <w:sz w:val="16"/>
          <w:szCs w:val="16"/>
        </w:rPr>
      </w:pPr>
      <w:r w:rsidRPr="003430DD">
        <w:rPr>
          <w:rFonts w:ascii="Sylfaen" w:hAnsi="Sylfaen" w:cs="Sylfaen"/>
          <w:i/>
          <w:sz w:val="16"/>
          <w:szCs w:val="16"/>
        </w:rPr>
        <w:t>შენიშვნა</w:t>
      </w:r>
      <w:r w:rsidRPr="003430DD">
        <w:rPr>
          <w:i/>
          <w:sz w:val="16"/>
          <w:szCs w:val="16"/>
        </w:rPr>
        <w:t xml:space="preserve">: </w:t>
      </w:r>
      <w:r w:rsidRPr="003430DD">
        <w:rPr>
          <w:rFonts w:ascii="Sylfaen" w:hAnsi="Sylfaen" w:cs="Sylfaen"/>
          <w:i/>
          <w:sz w:val="16"/>
          <w:szCs w:val="16"/>
        </w:rPr>
        <w:t>ცხრილში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გამოყენებულია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სავალუტო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კურსები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მოცემული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თარიღისათვის</w:t>
      </w:r>
    </w:p>
    <w:sectPr w:rsidR="000340AB" w:rsidRPr="00AD6A17" w:rsidSect="002D2B26">
      <w:pgSz w:w="11907" w:h="16839" w:code="9"/>
      <w:pgMar w:top="426" w:right="837" w:bottom="568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5A" w:rsidRDefault="00A17B5A" w:rsidP="00400BED">
      <w:pPr>
        <w:spacing w:after="0" w:line="240" w:lineRule="auto"/>
      </w:pPr>
      <w:r>
        <w:separator/>
      </w:r>
    </w:p>
  </w:endnote>
  <w:endnote w:type="continuationSeparator" w:id="0">
    <w:p w:rsidR="00A17B5A" w:rsidRDefault="00A17B5A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5A" w:rsidRDefault="00A17B5A" w:rsidP="00400BED">
      <w:pPr>
        <w:spacing w:after="0" w:line="240" w:lineRule="auto"/>
      </w:pPr>
      <w:r>
        <w:separator/>
      </w:r>
    </w:p>
  </w:footnote>
  <w:footnote w:type="continuationSeparator" w:id="0">
    <w:p w:rsidR="00A17B5A" w:rsidRDefault="00A17B5A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1659"/>
    <w:rsid w:val="00012780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670"/>
    <w:rsid w:val="00086A00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4EA9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763FC"/>
    <w:rsid w:val="00181ECC"/>
    <w:rsid w:val="00182832"/>
    <w:rsid w:val="00187C1C"/>
    <w:rsid w:val="00190A72"/>
    <w:rsid w:val="00193364"/>
    <w:rsid w:val="00193C76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2DDD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2B26"/>
    <w:rsid w:val="002D6813"/>
    <w:rsid w:val="002E3E75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4AAF"/>
    <w:rsid w:val="00347FB5"/>
    <w:rsid w:val="00352E0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5CE1"/>
    <w:rsid w:val="003967C1"/>
    <w:rsid w:val="00396821"/>
    <w:rsid w:val="00397075"/>
    <w:rsid w:val="003A0B26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1ADF"/>
    <w:rsid w:val="004324BD"/>
    <w:rsid w:val="00434625"/>
    <w:rsid w:val="004370D0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5AB2"/>
    <w:rsid w:val="0050185A"/>
    <w:rsid w:val="00501E22"/>
    <w:rsid w:val="005043A4"/>
    <w:rsid w:val="00510802"/>
    <w:rsid w:val="005131CE"/>
    <w:rsid w:val="005134D5"/>
    <w:rsid w:val="00515451"/>
    <w:rsid w:val="005165EB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0452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D31E4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3FA8"/>
    <w:rsid w:val="005F6B8A"/>
    <w:rsid w:val="00600923"/>
    <w:rsid w:val="00603BE0"/>
    <w:rsid w:val="006042C4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1B34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593"/>
    <w:rsid w:val="006A47A2"/>
    <w:rsid w:val="006A7D49"/>
    <w:rsid w:val="006B1B1E"/>
    <w:rsid w:val="006B398B"/>
    <w:rsid w:val="006B3FC1"/>
    <w:rsid w:val="006B56B0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1CE6"/>
    <w:rsid w:val="007121D3"/>
    <w:rsid w:val="00712989"/>
    <w:rsid w:val="0071317C"/>
    <w:rsid w:val="00713B95"/>
    <w:rsid w:val="00716043"/>
    <w:rsid w:val="00716759"/>
    <w:rsid w:val="00721C98"/>
    <w:rsid w:val="00722371"/>
    <w:rsid w:val="0072447C"/>
    <w:rsid w:val="0072498D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480C"/>
    <w:rsid w:val="00756EE2"/>
    <w:rsid w:val="00760891"/>
    <w:rsid w:val="007638B2"/>
    <w:rsid w:val="00764192"/>
    <w:rsid w:val="007643C1"/>
    <w:rsid w:val="00771909"/>
    <w:rsid w:val="007720D8"/>
    <w:rsid w:val="0077274B"/>
    <w:rsid w:val="00776354"/>
    <w:rsid w:val="00777C2F"/>
    <w:rsid w:val="00780B7F"/>
    <w:rsid w:val="00784855"/>
    <w:rsid w:val="0078542F"/>
    <w:rsid w:val="00786EA2"/>
    <w:rsid w:val="00787C46"/>
    <w:rsid w:val="00790043"/>
    <w:rsid w:val="00797BDC"/>
    <w:rsid w:val="007A0D67"/>
    <w:rsid w:val="007A32FD"/>
    <w:rsid w:val="007A4F50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E79"/>
    <w:rsid w:val="0085157F"/>
    <w:rsid w:val="008546EC"/>
    <w:rsid w:val="008564DE"/>
    <w:rsid w:val="00860E2B"/>
    <w:rsid w:val="00861F1F"/>
    <w:rsid w:val="00862004"/>
    <w:rsid w:val="00863F99"/>
    <w:rsid w:val="00864429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B7D"/>
    <w:rsid w:val="008A7DED"/>
    <w:rsid w:val="008B14CF"/>
    <w:rsid w:val="008B2C36"/>
    <w:rsid w:val="008B343B"/>
    <w:rsid w:val="008B56E3"/>
    <w:rsid w:val="008B589D"/>
    <w:rsid w:val="008B5C79"/>
    <w:rsid w:val="008B76C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772B"/>
    <w:rsid w:val="008F0B91"/>
    <w:rsid w:val="00903ED6"/>
    <w:rsid w:val="00905BCC"/>
    <w:rsid w:val="00907532"/>
    <w:rsid w:val="009139F2"/>
    <w:rsid w:val="00914D8C"/>
    <w:rsid w:val="00914EEA"/>
    <w:rsid w:val="0091662B"/>
    <w:rsid w:val="009274F9"/>
    <w:rsid w:val="00927EE7"/>
    <w:rsid w:val="00930DB7"/>
    <w:rsid w:val="009330E5"/>
    <w:rsid w:val="009335FA"/>
    <w:rsid w:val="00935F0A"/>
    <w:rsid w:val="009363B9"/>
    <w:rsid w:val="00941504"/>
    <w:rsid w:val="009453D8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115B"/>
    <w:rsid w:val="009816B7"/>
    <w:rsid w:val="00982850"/>
    <w:rsid w:val="00982E29"/>
    <w:rsid w:val="00986AAF"/>
    <w:rsid w:val="009917B8"/>
    <w:rsid w:val="00991B14"/>
    <w:rsid w:val="009925D7"/>
    <w:rsid w:val="00993049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11AE"/>
    <w:rsid w:val="00A45EB8"/>
    <w:rsid w:val="00A50002"/>
    <w:rsid w:val="00A5293F"/>
    <w:rsid w:val="00A56E3B"/>
    <w:rsid w:val="00A57273"/>
    <w:rsid w:val="00A6278E"/>
    <w:rsid w:val="00A63967"/>
    <w:rsid w:val="00A67F51"/>
    <w:rsid w:val="00A72FFA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59D0"/>
    <w:rsid w:val="00AD5E57"/>
    <w:rsid w:val="00AD6A17"/>
    <w:rsid w:val="00AE3BBE"/>
    <w:rsid w:val="00AF0662"/>
    <w:rsid w:val="00AF30B1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EAA"/>
    <w:rsid w:val="00B30876"/>
    <w:rsid w:val="00B3130D"/>
    <w:rsid w:val="00B32432"/>
    <w:rsid w:val="00B3761D"/>
    <w:rsid w:val="00B42ECF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6094"/>
    <w:rsid w:val="00BA64A2"/>
    <w:rsid w:val="00BB4019"/>
    <w:rsid w:val="00BC132A"/>
    <w:rsid w:val="00BC168E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2FAB"/>
    <w:rsid w:val="00C0434C"/>
    <w:rsid w:val="00C04FBA"/>
    <w:rsid w:val="00C10A59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62095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81C7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57F7"/>
    <w:rsid w:val="00CB6749"/>
    <w:rsid w:val="00CC1535"/>
    <w:rsid w:val="00CC179A"/>
    <w:rsid w:val="00CC46C4"/>
    <w:rsid w:val="00CC61C6"/>
    <w:rsid w:val="00CC6C0E"/>
    <w:rsid w:val="00CC7FBE"/>
    <w:rsid w:val="00CD1557"/>
    <w:rsid w:val="00CD2440"/>
    <w:rsid w:val="00CD352C"/>
    <w:rsid w:val="00CD7C57"/>
    <w:rsid w:val="00CE0B8E"/>
    <w:rsid w:val="00CE327F"/>
    <w:rsid w:val="00CE5649"/>
    <w:rsid w:val="00CF0DA5"/>
    <w:rsid w:val="00CF3A41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207EF"/>
    <w:rsid w:val="00D20BFD"/>
    <w:rsid w:val="00D21BD3"/>
    <w:rsid w:val="00D229A9"/>
    <w:rsid w:val="00D2609D"/>
    <w:rsid w:val="00D261E7"/>
    <w:rsid w:val="00D26939"/>
    <w:rsid w:val="00D31A08"/>
    <w:rsid w:val="00D32336"/>
    <w:rsid w:val="00D3238E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5A3D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24F5"/>
    <w:rsid w:val="00DC3604"/>
    <w:rsid w:val="00DD2856"/>
    <w:rsid w:val="00DD449D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7E10"/>
    <w:rsid w:val="00E20D5F"/>
    <w:rsid w:val="00E224DE"/>
    <w:rsid w:val="00E2573D"/>
    <w:rsid w:val="00E30881"/>
    <w:rsid w:val="00E31BC0"/>
    <w:rsid w:val="00E32CB6"/>
    <w:rsid w:val="00E33726"/>
    <w:rsid w:val="00E35BB0"/>
    <w:rsid w:val="00E3693C"/>
    <w:rsid w:val="00E36B7F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BCB"/>
    <w:rsid w:val="00E857B0"/>
    <w:rsid w:val="00E9045D"/>
    <w:rsid w:val="00E97A98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2F14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4160"/>
    <w:rsid w:val="00EE7EB6"/>
    <w:rsid w:val="00EF46D7"/>
    <w:rsid w:val="00EF6AB2"/>
    <w:rsid w:val="00F003A7"/>
    <w:rsid w:val="00F01A27"/>
    <w:rsid w:val="00F07891"/>
    <w:rsid w:val="00F07AE6"/>
    <w:rsid w:val="00F106FA"/>
    <w:rsid w:val="00F163EB"/>
    <w:rsid w:val="00F16F47"/>
    <w:rsid w:val="00F1789E"/>
    <w:rsid w:val="00F213DA"/>
    <w:rsid w:val="00F252D0"/>
    <w:rsid w:val="00F26066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354D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19%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58%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6%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48%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0.11224910432138516"/>
                  <c:y val="0.21701171499903971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800" b="0">
                <a:solidFill>
                  <a:sysClr val="windowText" lastClr="000000"/>
                </a:solidFill>
              </a:defRPr>
            </a:pPr>
            <a:r>
              <a:rPr lang="ka-GE" sz="800" b="0">
                <a:solidFill>
                  <a:sysClr val="windowText" lastClr="000000"/>
                </a:solidFill>
              </a:rPr>
              <a:t>საპროცენტო განაკვეთის ტიპი</a:t>
            </a:r>
            <a:endParaRPr lang="en-US" sz="8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DBC4-4BC6-4752-AB21-F49462B2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3</cp:revision>
  <cp:lastPrinted>2019-04-25T08:10:00Z</cp:lastPrinted>
  <dcterms:created xsi:type="dcterms:W3CDTF">2021-04-26T08:57:00Z</dcterms:created>
  <dcterms:modified xsi:type="dcterms:W3CDTF">2021-04-29T08:52:00Z</dcterms:modified>
</cp:coreProperties>
</file>